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57" w:after="57"/>
        <w:ind w:left="0" w:right="0" w:hanging="0"/>
        <w:jc w:val="both"/>
        <w:rPr>
          <w:rFonts w:ascii="Liberation Serif" w:hAnsi="Liberation Serif" w:cs="Cambria"/>
          <w:b w:val="false"/>
          <w:b w:val="false"/>
          <w:bCs w:val="false"/>
          <w:sz w:val="24"/>
          <w:szCs w:val="24"/>
        </w:rPr>
      </w:pPr>
      <w:r>
        <w:rPr>
          <w:rFonts w:cs="Cambria"/>
          <w:b w:val="false"/>
          <w:bCs w:val="false"/>
          <w:sz w:val="24"/>
          <w:szCs w:val="24"/>
        </w:rPr>
        <w:t>Universidad Nacional de Córdoba</w:t>
      </w:r>
    </w:p>
    <w:p>
      <w:pPr>
        <w:pStyle w:val="Normal"/>
        <w:spacing w:lineRule="auto" w:line="276" w:before="57" w:after="57"/>
        <w:ind w:left="0" w:right="0" w:hanging="0"/>
        <w:jc w:val="both"/>
        <w:rPr>
          <w:rFonts w:ascii="Liberation Serif" w:hAnsi="Liberation Serif" w:cs="Cambria"/>
          <w:b w:val="false"/>
          <w:b w:val="false"/>
          <w:bCs w:val="false"/>
          <w:sz w:val="24"/>
          <w:szCs w:val="24"/>
        </w:rPr>
      </w:pPr>
      <w:r>
        <w:rPr>
          <w:rFonts w:cs="Cambria"/>
          <w:b w:val="false"/>
          <w:bCs w:val="false"/>
          <w:sz w:val="24"/>
          <w:szCs w:val="24"/>
        </w:rPr>
        <w:t>Facultad de Derecho y Ciencias Sociales</w:t>
      </w:r>
    </w:p>
    <w:p>
      <w:pPr>
        <w:pStyle w:val="Normal"/>
        <w:spacing w:lineRule="auto" w:line="276" w:before="57" w:after="57"/>
        <w:ind w:left="0" w:right="0" w:hanging="0"/>
        <w:jc w:val="both"/>
        <w:rPr>
          <w:rFonts w:ascii="Liberation Serif" w:hAnsi="Liberation Serif" w:cs="Cambria"/>
          <w:b w:val="false"/>
          <w:b w:val="false"/>
          <w:bCs w:val="false"/>
          <w:sz w:val="24"/>
          <w:szCs w:val="24"/>
        </w:rPr>
      </w:pPr>
      <w:r>
        <w:rPr>
          <w:rFonts w:cs="Cambria"/>
          <w:b w:val="false"/>
          <w:bCs w:val="false"/>
          <w:sz w:val="24"/>
          <w:szCs w:val="24"/>
        </w:rPr>
        <w:t>Escuela de Trabajo Social</w:t>
      </w:r>
    </w:p>
    <w:p>
      <w:pPr>
        <w:pStyle w:val="Normal"/>
        <w:spacing w:lineRule="auto" w:line="276" w:before="57" w:after="57"/>
        <w:ind w:left="0" w:right="0" w:hanging="0"/>
        <w:jc w:val="both"/>
        <w:rPr>
          <w:rFonts w:ascii="Liberation Serif" w:hAnsi="Liberation Serif" w:cs="Cambria"/>
          <w:b/>
          <w:b/>
          <w:sz w:val="24"/>
          <w:szCs w:val="24"/>
          <w:highlight w:val="darkYellow"/>
        </w:rPr>
      </w:pPr>
      <w:r>
        <w:rPr>
          <w:rFonts w:cs="Cambria"/>
          <w:b/>
          <w:sz w:val="24"/>
          <w:szCs w:val="24"/>
          <w:highlight w:val="darkYellow"/>
        </w:rPr>
      </w:r>
    </w:p>
    <w:p>
      <w:pPr>
        <w:pStyle w:val="Normal"/>
        <w:spacing w:lineRule="auto" w:line="276" w:before="57" w:after="57"/>
        <w:ind w:left="0" w:right="0" w:hanging="0"/>
        <w:jc w:val="center"/>
        <w:rPr>
          <w:rFonts w:ascii="Liberation Serif" w:hAnsi="Liberation Serif" w:cs="Cambria"/>
          <w:b/>
          <w:b/>
          <w:sz w:val="28"/>
          <w:szCs w:val="28"/>
        </w:rPr>
      </w:pPr>
      <w:r>
        <w:rPr>
          <w:rFonts w:cs="Cambria"/>
          <w:b/>
          <w:sz w:val="28"/>
          <w:szCs w:val="28"/>
        </w:rPr>
        <w:t>Maestría en Ciencias Sociales y Maestría en Trabajo Social</w:t>
      </w:r>
    </w:p>
    <w:p>
      <w:pPr>
        <w:pStyle w:val="Normal"/>
        <w:tabs>
          <w:tab w:val="clear" w:pos="709"/>
          <w:tab w:val="left" w:pos="1320" w:leader="none"/>
        </w:tabs>
        <w:spacing w:lineRule="auto" w:line="276" w:before="57" w:after="57"/>
        <w:ind w:left="0" w:right="0" w:hanging="0"/>
        <w:jc w:val="center"/>
        <w:rPr>
          <w:rFonts w:ascii="Liberation Serif" w:hAnsi="Liberation Serif" w:cs="Cambria"/>
          <w:b/>
          <w:b/>
          <w:sz w:val="28"/>
          <w:szCs w:val="28"/>
        </w:rPr>
      </w:pPr>
      <w:r>
        <w:rPr>
          <w:rFonts w:cs="Cambria"/>
          <w:b/>
          <w:sz w:val="28"/>
          <w:szCs w:val="28"/>
        </w:rPr>
        <w:t>Teoría Sociológica I</w:t>
      </w:r>
    </w:p>
    <w:p>
      <w:pPr>
        <w:pStyle w:val="Normal"/>
        <w:spacing w:lineRule="auto" w:line="276" w:before="57" w:after="57"/>
        <w:ind w:left="0" w:right="0" w:hanging="0"/>
        <w:jc w:val="center"/>
        <w:rPr>
          <w:rFonts w:ascii="Liberation Serif" w:hAnsi="Liberation Serif" w:cs="Cambria"/>
          <w:b/>
          <w:b/>
          <w:sz w:val="28"/>
          <w:szCs w:val="28"/>
        </w:rPr>
      </w:pPr>
      <w:r>
        <w:rPr>
          <w:rFonts w:cs="Cambria"/>
          <w:b/>
          <w:sz w:val="28"/>
          <w:szCs w:val="28"/>
        </w:rPr>
        <w:t>20</w:t>
      </w:r>
      <w:r>
        <w:rPr>
          <w:rFonts w:cs="Cambria"/>
          <w:b/>
          <w:sz w:val="28"/>
          <w:szCs w:val="28"/>
        </w:rPr>
        <w:t>21</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right"/>
        <w:rPr>
          <w:rFonts w:ascii="Liberation Serif" w:hAnsi="Liberation Serif"/>
          <w:sz w:val="24"/>
          <w:szCs w:val="24"/>
        </w:rPr>
      </w:pPr>
      <w:r>
        <w:rPr>
          <w:rFonts w:cs="Cambria"/>
          <w:b/>
          <w:sz w:val="24"/>
          <w:szCs w:val="24"/>
        </w:rPr>
        <w:t xml:space="preserve">Docente a cargo: </w:t>
      </w:r>
      <w:r>
        <w:rPr>
          <w:rFonts w:cs="Cambria"/>
          <w:b w:val="false"/>
          <w:bCs w:val="false"/>
          <w:sz w:val="24"/>
          <w:szCs w:val="24"/>
        </w:rPr>
        <w:t>Dra. María Soledad Segura</w:t>
      </w:r>
    </w:p>
    <w:p>
      <w:pPr>
        <w:pStyle w:val="Normal"/>
        <w:spacing w:lineRule="auto" w:line="276" w:before="57" w:after="57"/>
        <w:ind w:left="0" w:right="0" w:hanging="0"/>
        <w:jc w:val="right"/>
        <w:rPr>
          <w:rFonts w:ascii="Liberation Serif" w:hAnsi="Liberation Serif" w:cs="Cambria"/>
          <w:b/>
          <w:b/>
          <w:sz w:val="24"/>
          <w:szCs w:val="24"/>
        </w:rPr>
      </w:pPr>
      <w:r>
        <w:rPr>
          <w:rFonts w:cs="Cambria"/>
          <w:b/>
          <w:sz w:val="24"/>
          <w:szCs w:val="24"/>
        </w:rPr>
        <w:t xml:space="preserve">Docente tutora: </w:t>
      </w:r>
      <w:r>
        <w:rPr>
          <w:rFonts w:cs="Cambria"/>
          <w:b w:val="false"/>
          <w:bCs w:val="false"/>
          <w:sz w:val="24"/>
          <w:szCs w:val="24"/>
        </w:rPr>
        <w:t>Dra. Natalia Gabriela Traversaro</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numPr>
          <w:ilvl w:val="0"/>
          <w:numId w:val="1"/>
        </w:numPr>
        <w:spacing w:lineRule="auto" w:line="276" w:before="57" w:after="57"/>
        <w:jc w:val="both"/>
        <w:rPr>
          <w:rFonts w:ascii="Liberation Serif" w:hAnsi="Liberation Serif" w:cs="Cambria"/>
          <w:b/>
          <w:b/>
          <w:sz w:val="24"/>
          <w:szCs w:val="24"/>
        </w:rPr>
      </w:pPr>
      <w:r>
        <w:rPr>
          <w:rFonts w:cs="Cambria"/>
          <w:b/>
          <w:sz w:val="24"/>
          <w:szCs w:val="24"/>
        </w:rPr>
        <w:t>Fundamentos</w:t>
      </w:r>
    </w:p>
    <w:p>
      <w:pPr>
        <w:pStyle w:val="Normal"/>
        <w:spacing w:lineRule="auto" w:line="276" w:before="57" w:after="57"/>
        <w:ind w:left="0" w:right="0" w:firstLine="284"/>
        <w:jc w:val="both"/>
        <w:rPr>
          <w:rStyle w:val="Appleconvertedspace"/>
          <w:rFonts w:ascii="Liberation Serif" w:hAnsi="Liberation Serif" w:cs="Arial"/>
          <w:sz w:val="24"/>
          <w:szCs w:val="24"/>
          <w:highlight w:val="white"/>
        </w:rPr>
      </w:pPr>
      <w:r>
        <w:rPr>
          <w:rFonts w:cs="Cambria" w:ascii="Cambria" w:hAnsi="Cambria"/>
          <w:b/>
          <w:sz w:val="24"/>
          <w:szCs w:val="24"/>
        </w:rPr>
      </w:r>
    </w:p>
    <w:p>
      <w:pPr>
        <w:pStyle w:val="Normal"/>
        <w:spacing w:lineRule="auto" w:line="276" w:before="57" w:after="57"/>
        <w:ind w:left="0" w:right="0" w:hanging="0"/>
        <w:jc w:val="both"/>
        <w:rPr/>
      </w:pPr>
      <w:r>
        <w:rPr>
          <w:rStyle w:val="Appleconvertedspace"/>
          <w:rFonts w:cs="Arial"/>
          <w:sz w:val="24"/>
          <w:szCs w:val="24"/>
          <w:highlight w:val="white"/>
        </w:rPr>
        <w:t>La propuesta de este Programa se estructura según la siguiente hipótesis propuesta por el Dr. Ricardo Costa</w:t>
      </w:r>
      <w:r>
        <w:rPr>
          <w:rStyle w:val="Caracteresdenotaalpie"/>
          <w:rStyle w:val="Ancladenotaalpie"/>
          <w:rFonts w:cs="Arial"/>
          <w:sz w:val="24"/>
          <w:szCs w:val="24"/>
          <w:highlight w:val="white"/>
        </w:rPr>
        <w:footnoteReference w:id="2"/>
      </w:r>
      <w:r>
        <w:rPr>
          <w:rStyle w:val="Appleconvertedspace"/>
          <w:rFonts w:cs="Arial"/>
          <w:sz w:val="24"/>
          <w:szCs w:val="24"/>
          <w:highlight w:val="white"/>
        </w:rPr>
        <w:t>: </w:t>
      </w:r>
      <w:r>
        <w:rPr>
          <w:rFonts w:cs="Arial"/>
          <w:sz w:val="24"/>
          <w:szCs w:val="24"/>
          <w:highlight w:val="white"/>
        </w:rPr>
        <w:t>Toda estrategia de intervención constituye una teoría de la acción puesta en acción. Las teorías sociológicas se distinguen por el modo en que conceptualizan las condiciones objetivas, los sujetos y la relación entre ambos en pos de comprender y explicar las prácticas sociales. Por lo tanto, conocer estas teorías permite avanzar en el control reflexivo de las estrategias de intervención social (Costa, 1997).</w:t>
      </w:r>
      <w:r>
        <w:rPr>
          <w:rFonts w:cs="Cambria"/>
          <w:sz w:val="24"/>
          <w:szCs w:val="24"/>
        </w:rPr>
        <w:t xml:space="preserve"> Por esta razón, durante el curso, no se pretende abordar toda la producción teórica de cada autor, sino que se identificarán las maneras en que cada uno define estos elementos. Esta opción, además, nos permitirá establecer comparaciones sobre los alcances e implicaciones de cada propuesta teórica.</w:t>
      </w:r>
    </w:p>
    <w:p>
      <w:pPr>
        <w:pStyle w:val="Normal"/>
        <w:spacing w:lineRule="auto" w:line="276" w:before="57" w:after="57"/>
        <w:ind w:left="0" w:right="0" w:hanging="0"/>
        <w:jc w:val="both"/>
        <w:rPr/>
      </w:pPr>
      <w:r>
        <w:rPr>
          <w:rFonts w:cs="Cambria"/>
          <w:sz w:val="24"/>
          <w:szCs w:val="24"/>
        </w:rPr>
        <w:t>S</w:t>
      </w:r>
      <w:r>
        <w:rPr>
          <w:rFonts w:cs="Cambria"/>
          <w:sz w:val="24"/>
          <w:szCs w:val="24"/>
        </w:rPr>
        <w:t xml:space="preserve">e presentarán las respuestas al modo de conceptualizar las tres dimensiones antes mencionadas por parte de </w:t>
      </w:r>
      <w:r>
        <w:rPr>
          <w:rFonts w:cs="Cambria"/>
          <w:sz w:val="24"/>
          <w:szCs w:val="24"/>
        </w:rPr>
        <w:t xml:space="preserve">los </w:t>
      </w:r>
      <w:r>
        <w:rPr>
          <w:rFonts w:cs="Cambria"/>
          <w:sz w:val="24"/>
          <w:szCs w:val="24"/>
        </w:rPr>
        <w:t xml:space="preserve">autores </w:t>
      </w:r>
      <w:r>
        <w:rPr>
          <w:rFonts w:cs="Cambria"/>
          <w:sz w:val="24"/>
          <w:szCs w:val="24"/>
        </w:rPr>
        <w:t xml:space="preserve">clásicos (Èmile Durkheim, Karl Marx y Max Weber) y de un autor </w:t>
      </w:r>
      <w:r>
        <w:rPr>
          <w:rFonts w:cs="Cambria"/>
          <w:sz w:val="24"/>
          <w:szCs w:val="24"/>
        </w:rPr>
        <w:t xml:space="preserve">contemporáneo </w:t>
      </w:r>
      <w:r>
        <w:rPr>
          <w:rFonts w:cs="Cambria"/>
          <w:sz w:val="24"/>
          <w:szCs w:val="24"/>
        </w:rPr>
        <w:t>representativo</w:t>
      </w:r>
      <w:r>
        <w:rPr>
          <w:rFonts w:cs="Cambria"/>
          <w:sz w:val="24"/>
          <w:szCs w:val="24"/>
        </w:rPr>
        <w:t xml:space="preserve"> de </w:t>
      </w:r>
      <w:r>
        <w:rPr>
          <w:rFonts w:cs="Cambria"/>
          <w:sz w:val="24"/>
          <w:szCs w:val="24"/>
        </w:rPr>
        <w:t xml:space="preserve">cada una de las siguientes </w:t>
      </w:r>
      <w:r>
        <w:rPr>
          <w:rFonts w:cs="Cambria"/>
          <w:sz w:val="24"/>
          <w:szCs w:val="24"/>
        </w:rPr>
        <w:t>corrientes teóricas:</w:t>
      </w:r>
      <w:r>
        <w:rPr>
          <w:rFonts w:cs="Cambria"/>
          <w:sz w:val="24"/>
          <w:szCs w:val="24"/>
        </w:rPr>
        <w:t xml:space="preserve"> Estructural Funcionalismo (Talcott Parsons), Interaccionismo Simbólico (Alfred Schutz)</w:t>
      </w:r>
      <w:r>
        <w:rPr>
          <w:rFonts w:cs="Cambria"/>
          <w:sz w:val="24"/>
          <w:szCs w:val="24"/>
        </w:rPr>
        <w:t xml:space="preserve">, Teoría Crítica </w:t>
      </w:r>
      <w:r>
        <w:rPr>
          <w:rFonts w:cs="Cambria"/>
          <w:sz w:val="24"/>
          <w:szCs w:val="24"/>
        </w:rPr>
        <w:t>(Jürgen Habermas)</w:t>
      </w:r>
      <w:r>
        <w:rPr>
          <w:rFonts w:cs="Cambria"/>
          <w:sz w:val="24"/>
          <w:szCs w:val="24"/>
        </w:rPr>
        <w:t xml:space="preserve">, Post-Estructuralismo </w:t>
      </w:r>
      <w:r>
        <w:rPr>
          <w:rFonts w:cs="Cambria"/>
          <w:sz w:val="24"/>
          <w:szCs w:val="24"/>
        </w:rPr>
        <w:t>(Michel Foucault) y</w:t>
      </w:r>
      <w:r>
        <w:rPr>
          <w:rFonts w:cs="Cambria"/>
          <w:sz w:val="24"/>
          <w:szCs w:val="24"/>
        </w:rPr>
        <w:t xml:space="preserve"> Enfoque Pragmático-Estratégico </w:t>
      </w:r>
      <w:r>
        <w:rPr>
          <w:rFonts w:cs="Cambria"/>
          <w:sz w:val="24"/>
          <w:szCs w:val="24"/>
        </w:rPr>
        <w:t>(Pierre Bourdieu)</w:t>
      </w:r>
      <w:r>
        <w:rPr>
          <w:rFonts w:cs="Cambria"/>
          <w:sz w:val="24"/>
          <w:szCs w:val="24"/>
        </w:rPr>
        <w:t xml:space="preserve">. </w:t>
      </w:r>
    </w:p>
    <w:p>
      <w:pPr>
        <w:pStyle w:val="Normal"/>
        <w:spacing w:lineRule="auto" w:line="276" w:before="57" w:after="57"/>
        <w:ind w:left="0" w:right="0" w:hanging="0"/>
        <w:jc w:val="both"/>
        <w:rPr/>
      </w:pPr>
      <w:r>
        <w:rPr>
          <w:rFonts w:cs="Cambria"/>
          <w:sz w:val="24"/>
          <w:szCs w:val="24"/>
        </w:rPr>
        <w:t xml:space="preserve">Asimismo, teniendo en cuenta </w:t>
      </w:r>
      <w:r>
        <w:rPr>
          <w:rFonts w:cs="Cambria"/>
          <w:sz w:val="24"/>
          <w:szCs w:val="24"/>
        </w:rPr>
        <w:t>las Menciones en Políticas Sociales y en Derechos Humanos</w:t>
      </w:r>
      <w:r>
        <w:rPr>
          <w:rFonts w:cs="Cambria"/>
          <w:sz w:val="24"/>
          <w:szCs w:val="24"/>
        </w:rPr>
        <w:t xml:space="preserve"> de esta Maestría. Esto conlleva diferenciar las propuestas de teorías de explicación (teorías sociales) de las teorías del cambio (teorías político-normativas) que cada autor propone. Los análisis elegidos como ejemplos de estas aplicaciones fueron realizados por investigadores/</w:t>
      </w:r>
      <w:r>
        <w:rPr>
          <w:rFonts w:cs="Cambria"/>
          <w:sz w:val="24"/>
          <w:szCs w:val="24"/>
        </w:rPr>
        <w:t>as</w:t>
      </w:r>
      <w:r>
        <w:rPr>
          <w:rFonts w:cs="Cambria"/>
          <w:sz w:val="24"/>
          <w:szCs w:val="24"/>
        </w:rPr>
        <w:t xml:space="preserve"> cordobeses/</w:t>
      </w:r>
      <w:r>
        <w:rPr>
          <w:rFonts w:cs="Cambria"/>
          <w:sz w:val="24"/>
          <w:szCs w:val="24"/>
        </w:rPr>
        <w:t>as, argentinos/as/es</w:t>
      </w:r>
      <w:r>
        <w:rPr>
          <w:rFonts w:cs="Cambria"/>
          <w:sz w:val="24"/>
          <w:szCs w:val="24"/>
        </w:rPr>
        <w:t xml:space="preserve"> y latinoamericanos/</w:t>
      </w:r>
      <w:r>
        <w:rPr>
          <w:rFonts w:cs="Cambria"/>
          <w:sz w:val="24"/>
          <w:szCs w:val="24"/>
        </w:rPr>
        <w:t>as/es</w:t>
      </w:r>
      <w:r>
        <w:rPr>
          <w:rFonts w:cs="Cambria"/>
          <w:sz w:val="24"/>
          <w:szCs w:val="24"/>
        </w:rPr>
        <w:t xml:space="preserve"> y abordan problemáticas locales.</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numPr>
          <w:ilvl w:val="0"/>
          <w:numId w:val="1"/>
        </w:numPr>
        <w:spacing w:lineRule="auto" w:line="276" w:before="57" w:after="57"/>
        <w:jc w:val="both"/>
        <w:rPr>
          <w:rFonts w:ascii="Liberation Serif" w:hAnsi="Liberation Serif" w:cs="Cambria"/>
          <w:b/>
          <w:b/>
          <w:sz w:val="24"/>
          <w:szCs w:val="24"/>
        </w:rPr>
      </w:pPr>
      <w:r>
        <w:rPr>
          <w:rFonts w:cs="Cambria"/>
          <w:b/>
          <w:sz w:val="24"/>
          <w:szCs w:val="24"/>
        </w:rPr>
        <w:t>Objetivos</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numPr>
          <w:ilvl w:val="0"/>
          <w:numId w:val="2"/>
        </w:numPr>
        <w:spacing w:lineRule="auto" w:line="276" w:before="57" w:after="57"/>
        <w:ind w:left="284" w:right="0" w:hanging="284"/>
        <w:jc w:val="both"/>
        <w:rPr>
          <w:rFonts w:ascii="Liberation Serif" w:hAnsi="Liberation Serif" w:cs="Cambria"/>
          <w:b w:val="false"/>
          <w:b w:val="false"/>
          <w:bCs w:val="false"/>
          <w:sz w:val="24"/>
          <w:szCs w:val="24"/>
        </w:rPr>
      </w:pPr>
      <w:r>
        <w:rPr>
          <w:rFonts w:cs="Cambria"/>
          <w:b w:val="false"/>
          <w:bCs w:val="false"/>
          <w:sz w:val="24"/>
          <w:szCs w:val="24"/>
        </w:rPr>
        <w:t>Reconocer las condiciones de producción del surgimiento de la disciplina y de cada teoría.</w:t>
      </w:r>
    </w:p>
    <w:p>
      <w:pPr>
        <w:pStyle w:val="Normal"/>
        <w:numPr>
          <w:ilvl w:val="0"/>
          <w:numId w:val="2"/>
        </w:numPr>
        <w:spacing w:lineRule="auto" w:line="276" w:before="57" w:after="57"/>
        <w:ind w:left="284" w:right="0" w:hanging="284"/>
        <w:jc w:val="both"/>
        <w:rPr/>
      </w:pPr>
      <w:r>
        <w:rPr>
          <w:rFonts w:cs="Cambria"/>
          <w:sz w:val="24"/>
          <w:szCs w:val="24"/>
        </w:rPr>
        <w:t xml:space="preserve">Identificar las operaciones centrales </w:t>
      </w:r>
      <w:r>
        <w:rPr>
          <w:rFonts w:cs="Cambria"/>
          <w:sz w:val="24"/>
          <w:szCs w:val="24"/>
        </w:rPr>
        <w:t>desarrolladas</w:t>
      </w:r>
      <w:r>
        <w:rPr>
          <w:rFonts w:cs="Cambria"/>
          <w:sz w:val="24"/>
          <w:szCs w:val="24"/>
        </w:rPr>
        <w:t xml:space="preserve"> por el/</w:t>
      </w:r>
      <w:r>
        <w:rPr>
          <w:rFonts w:cs="Cambria"/>
          <w:sz w:val="24"/>
          <w:szCs w:val="24"/>
        </w:rPr>
        <w:t>la/le</w:t>
      </w:r>
      <w:r>
        <w:rPr>
          <w:rFonts w:cs="Cambria"/>
          <w:sz w:val="24"/>
          <w:szCs w:val="24"/>
        </w:rPr>
        <w:t xml:space="preserve"> sociólogo/</w:t>
      </w:r>
      <w:r>
        <w:rPr>
          <w:rFonts w:cs="Cambria"/>
          <w:sz w:val="24"/>
          <w:szCs w:val="24"/>
        </w:rPr>
        <w:t>a/gue</w:t>
      </w:r>
      <w:r>
        <w:rPr>
          <w:rFonts w:cs="Cambria"/>
          <w:sz w:val="24"/>
          <w:szCs w:val="24"/>
        </w:rPr>
        <w:t xml:space="preserve"> al construir y analizar su objeto de estudio.</w:t>
      </w:r>
    </w:p>
    <w:p>
      <w:pPr>
        <w:pStyle w:val="Normal"/>
        <w:numPr>
          <w:ilvl w:val="0"/>
          <w:numId w:val="2"/>
        </w:numPr>
        <w:spacing w:lineRule="auto" w:line="276" w:before="57" w:after="57"/>
        <w:ind w:left="284" w:right="0" w:hanging="284"/>
        <w:jc w:val="both"/>
        <w:rPr>
          <w:rFonts w:ascii="Liberation Serif" w:hAnsi="Liberation Serif" w:cs="Cambria"/>
          <w:sz w:val="24"/>
          <w:szCs w:val="24"/>
        </w:rPr>
      </w:pPr>
      <w:r>
        <w:rPr>
          <w:rFonts w:cs="Cambria"/>
          <w:sz w:val="24"/>
          <w:szCs w:val="24"/>
        </w:rPr>
        <w:t>Reconocer los componentes de la acción social que son centrales tanto para su estudio cuanto para la definición de políticas de cambio.</w:t>
      </w:r>
    </w:p>
    <w:p>
      <w:pPr>
        <w:pStyle w:val="Normal"/>
        <w:numPr>
          <w:ilvl w:val="0"/>
          <w:numId w:val="2"/>
        </w:numPr>
        <w:spacing w:lineRule="auto" w:line="276" w:before="57" w:after="57"/>
        <w:ind w:left="284" w:right="0" w:hanging="284"/>
        <w:jc w:val="both"/>
        <w:rPr/>
      </w:pPr>
      <w:r>
        <w:rPr>
          <w:rFonts w:cs="Cambria"/>
          <w:sz w:val="24"/>
          <w:szCs w:val="24"/>
        </w:rPr>
        <w:t>Incrementar</w:t>
      </w:r>
      <w:r>
        <w:rPr>
          <w:rFonts w:cs="Cambria"/>
          <w:sz w:val="24"/>
          <w:szCs w:val="24"/>
        </w:rPr>
        <w:t xml:space="preserve"> el control reflexivo sobre </w:t>
      </w:r>
      <w:r>
        <w:rPr>
          <w:rFonts w:cs="Cambria"/>
          <w:sz w:val="24"/>
          <w:szCs w:val="24"/>
        </w:rPr>
        <w:t>los</w:t>
      </w:r>
      <w:r>
        <w:rPr>
          <w:rFonts w:cs="Cambria"/>
          <w:sz w:val="24"/>
          <w:szCs w:val="24"/>
        </w:rPr>
        <w:t xml:space="preserve"> propios procesos de conocimiento e intervención.</w:t>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r>
    </w:p>
    <w:p>
      <w:pPr>
        <w:pStyle w:val="Normal"/>
        <w:numPr>
          <w:ilvl w:val="0"/>
          <w:numId w:val="1"/>
        </w:numPr>
        <w:spacing w:lineRule="auto" w:line="276" w:before="57" w:after="57"/>
        <w:jc w:val="both"/>
        <w:rPr>
          <w:rFonts w:ascii="Liberation Serif" w:hAnsi="Liberation Serif" w:cs="Cambria"/>
          <w:b/>
          <w:b/>
          <w:sz w:val="24"/>
          <w:szCs w:val="24"/>
        </w:rPr>
      </w:pPr>
      <w:r>
        <w:rPr>
          <w:rFonts w:cs="Cambria"/>
          <w:b/>
          <w:sz w:val="24"/>
          <w:szCs w:val="24"/>
        </w:rPr>
        <w:t>Contenidos</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sz w:val="24"/>
          <w:szCs w:val="24"/>
        </w:rPr>
      </w:pPr>
      <w:r>
        <w:rPr>
          <w:rFonts w:cs="Cambria"/>
          <w:b/>
          <w:sz w:val="24"/>
          <w:szCs w:val="24"/>
        </w:rPr>
        <w:t xml:space="preserve">Unidad 1: </w:t>
      </w:r>
      <w:r>
        <w:rPr>
          <w:rFonts w:cs="Cambria"/>
          <w:b/>
          <w:sz w:val="24"/>
          <w:szCs w:val="24"/>
        </w:rPr>
        <w:t>Los Clásicos (Èmile Durkheim, Karl Marx y Max Weber)</w:t>
      </w:r>
    </w:p>
    <w:p>
      <w:pPr>
        <w:pStyle w:val="Normal"/>
        <w:numPr>
          <w:ilvl w:val="0"/>
          <w:numId w:val="10"/>
        </w:numPr>
        <w:spacing w:before="0" w:after="0"/>
        <w:jc w:val="both"/>
        <w:rPr/>
      </w:pPr>
      <w:r>
        <w:rPr>
          <w:rFonts w:cs="Arial Narrow"/>
        </w:rPr>
        <w:t xml:space="preserve">La teoría </w:t>
      </w:r>
      <w:r>
        <w:rPr>
          <w:rFonts w:cs="Arial Narrow"/>
        </w:rPr>
        <w:t>sociológica en</w:t>
      </w:r>
      <w:r>
        <w:rPr>
          <w:rFonts w:cs="Arial Narrow"/>
        </w:rPr>
        <w:t xml:space="preserve"> la </w:t>
      </w:r>
      <w:r>
        <w:rPr>
          <w:rFonts w:cs="Arial Narrow"/>
        </w:rPr>
        <w:t>M</w:t>
      </w:r>
      <w:r>
        <w:rPr>
          <w:rFonts w:cs="Arial Narrow"/>
        </w:rPr>
        <w:t>odernidad.</w:t>
      </w:r>
    </w:p>
    <w:p>
      <w:pPr>
        <w:pStyle w:val="Normal"/>
        <w:numPr>
          <w:ilvl w:val="0"/>
          <w:numId w:val="10"/>
        </w:numPr>
        <w:spacing w:before="0" w:after="0"/>
        <w:jc w:val="both"/>
        <w:rPr>
          <w:rFonts w:ascii="Liberation Serif" w:hAnsi="Liberation Serif"/>
        </w:rPr>
      </w:pPr>
      <w:r>
        <w:rPr>
          <w:rFonts w:cs="Arial Narrow"/>
        </w:rPr>
        <w:t>Marx, Weber y Durkheim: repaso y sistematización de su</w:t>
      </w:r>
      <w:r>
        <w:rPr>
          <w:rFonts w:cs="Arial Narrow"/>
        </w:rPr>
        <w:t>s modos de conceptualizar las condiciones objetivas, los sujetos y la relación entre ambos para explicar la acción social.</w:t>
      </w:r>
    </w:p>
    <w:p>
      <w:pPr>
        <w:pStyle w:val="Normal"/>
        <w:numPr>
          <w:ilvl w:val="0"/>
          <w:numId w:val="10"/>
        </w:numPr>
        <w:spacing w:before="0" w:after="0"/>
        <w:jc w:val="both"/>
        <w:rPr>
          <w:rFonts w:ascii="Liberation Serif" w:hAnsi="Liberation Serif"/>
        </w:rPr>
      </w:pPr>
      <w:r>
        <w:rPr>
          <w:rFonts w:cs="Arial Narrow"/>
        </w:rPr>
        <w:t xml:space="preserve">La continuidad de la herencia clásica en </w:t>
      </w:r>
      <w:r>
        <w:rPr>
          <w:rFonts w:cs="Arial Narrow"/>
        </w:rPr>
        <w:t>la teoría sociológica contemporánea d</w:t>
      </w:r>
      <w:r>
        <w:rPr>
          <w:rFonts w:cs="Arial Narrow"/>
        </w:rPr>
        <w:t>el siglo XX.</w:t>
      </w:r>
    </w:p>
    <w:p>
      <w:pPr>
        <w:pStyle w:val="Normal"/>
        <w:spacing w:lineRule="auto" w:line="276" w:before="0" w:after="0"/>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pPr>
      <w:r>
        <w:rPr>
          <w:rFonts w:cs="Cambria"/>
          <w:b/>
          <w:sz w:val="24"/>
          <w:szCs w:val="24"/>
        </w:rPr>
        <w:t xml:space="preserve">Unidad </w:t>
      </w:r>
      <w:r>
        <w:rPr>
          <w:rFonts w:cs="Cambria"/>
          <w:b/>
          <w:sz w:val="24"/>
          <w:szCs w:val="24"/>
        </w:rPr>
        <w:t>2</w:t>
      </w:r>
      <w:r>
        <w:rPr>
          <w:rFonts w:cs="Cambria"/>
          <w:b/>
          <w:sz w:val="24"/>
          <w:szCs w:val="24"/>
        </w:rPr>
        <w:t xml:space="preserve">: Interaccionismo Simbólico </w:t>
      </w:r>
      <w:r>
        <w:rPr>
          <w:rFonts w:cs="Cambria"/>
          <w:b/>
          <w:sz w:val="24"/>
          <w:szCs w:val="24"/>
        </w:rPr>
        <w:t>(Alfred Schutz)</w:t>
      </w:r>
    </w:p>
    <w:p>
      <w:pPr>
        <w:pStyle w:val="Normal"/>
        <w:numPr>
          <w:ilvl w:val="0"/>
          <w:numId w:val="3"/>
        </w:numPr>
        <w:spacing w:lineRule="auto" w:line="276" w:before="57" w:after="57"/>
        <w:ind w:left="426" w:right="0" w:hanging="426"/>
        <w:jc w:val="both"/>
        <w:rPr>
          <w:rFonts w:ascii="Liberation Serif" w:hAnsi="Liberation Serif"/>
          <w:sz w:val="24"/>
          <w:szCs w:val="24"/>
        </w:rPr>
      </w:pPr>
      <w:r>
        <w:rPr>
          <w:rFonts w:cs="Times New Roman" w:ascii="Times New Roman" w:hAnsi="Times New Roman"/>
          <w:sz w:val="24"/>
          <w:szCs w:val="24"/>
        </w:rPr>
        <w:t xml:space="preserve">La forma de conceptualizar los sujetos: enfoque interaccionista. </w:t>
      </w:r>
      <w:r>
        <w:rPr>
          <w:rFonts w:cs="Cambria"/>
          <w:sz w:val="24"/>
          <w:szCs w:val="24"/>
        </w:rPr>
        <w:t>La interacción como eje. Condiciones de posibilidad del entendimiento recíproco (Schutz y Luckmann, 1977: 109-235).</w:t>
      </w:r>
    </w:p>
    <w:p>
      <w:pPr>
        <w:pStyle w:val="ListParagraph"/>
        <w:numPr>
          <w:ilvl w:val="0"/>
          <w:numId w:val="3"/>
        </w:numPr>
        <w:spacing w:lineRule="auto" w:line="276" w:before="57" w:after="57"/>
        <w:ind w:left="426" w:right="0" w:hanging="360"/>
        <w:jc w:val="both"/>
        <w:rPr>
          <w:rFonts w:ascii="Liberation Serif" w:hAnsi="Liberation Serif"/>
          <w:sz w:val="24"/>
          <w:szCs w:val="24"/>
        </w:rPr>
      </w:pPr>
      <w:r>
        <w:rPr>
          <w:rFonts w:cs="Cambria"/>
          <w:sz w:val="24"/>
          <w:szCs w:val="24"/>
        </w:rPr>
        <w:t>Las “estructuras del mundo de la vida”</w:t>
      </w:r>
      <w:r>
        <w:rPr>
          <w:rFonts w:cs="Arial"/>
          <w:sz w:val="24"/>
          <w:szCs w:val="24"/>
        </w:rPr>
        <w:t xml:space="preserve"> (Schutz, 1974: 35-70).</w:t>
      </w:r>
    </w:p>
    <w:p>
      <w:pPr>
        <w:pStyle w:val="ListParagraph"/>
        <w:numPr>
          <w:ilvl w:val="0"/>
          <w:numId w:val="3"/>
        </w:numPr>
        <w:spacing w:lineRule="auto" w:line="276" w:before="57" w:after="57"/>
        <w:ind w:left="426" w:right="0" w:hanging="360"/>
        <w:jc w:val="both"/>
        <w:rPr>
          <w:rFonts w:ascii="Liberation Serif" w:hAnsi="Liberation Serif" w:cs="Cambria"/>
          <w:sz w:val="24"/>
          <w:szCs w:val="24"/>
        </w:rPr>
      </w:pPr>
      <w:r>
        <w:rPr>
          <w:rFonts w:cs="Cambria"/>
          <w:sz w:val="24"/>
          <w:szCs w:val="24"/>
        </w:rPr>
        <w:t>La concepción schutziana de lo social: símbolo, realidad y sociedad. El problema del sentido.</w:t>
      </w:r>
    </w:p>
    <w:p>
      <w:pPr>
        <w:pStyle w:val="Normal"/>
        <w:spacing w:lineRule="auto" w:line="240" w:before="12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57" w:after="57"/>
        <w:ind w:left="0" w:right="0" w:hanging="0"/>
        <w:jc w:val="both"/>
        <w:rPr>
          <w:rFonts w:ascii="Liberation Serif" w:hAnsi="Liberation Serif"/>
          <w:sz w:val="24"/>
          <w:szCs w:val="24"/>
        </w:rPr>
      </w:pPr>
      <w:r>
        <w:rPr>
          <w:rFonts w:cs="Cambria"/>
          <w:b/>
          <w:sz w:val="24"/>
          <w:szCs w:val="24"/>
        </w:rPr>
        <w:t xml:space="preserve">Unidad </w:t>
      </w:r>
      <w:r>
        <w:rPr>
          <w:rFonts w:cs="Cambria"/>
          <w:b/>
          <w:sz w:val="24"/>
          <w:szCs w:val="24"/>
        </w:rPr>
        <w:t>3</w:t>
      </w:r>
      <w:r>
        <w:rPr>
          <w:rFonts w:cs="Cambria"/>
          <w:b/>
          <w:sz w:val="24"/>
          <w:szCs w:val="24"/>
        </w:rPr>
        <w:t>: Estructural Funcionalismo (Talcott Parsons)</w:t>
      </w:r>
    </w:p>
    <w:p>
      <w:pPr>
        <w:pStyle w:val="Normal"/>
        <w:numPr>
          <w:ilvl w:val="0"/>
          <w:numId w:val="0"/>
        </w:numPr>
        <w:spacing w:before="0" w:after="0"/>
        <w:ind w:left="720" w:hanging="0"/>
        <w:jc w:val="both"/>
        <w:rPr>
          <w:rFonts w:ascii="Liberation Serif" w:hAnsi="Liberation Serif" w:cs="Arial Narrow"/>
          <w:b w:val="false"/>
          <w:b w:val="false"/>
          <w:bCs w:val="false"/>
          <w:highlight w:val="yellow"/>
        </w:rPr>
      </w:pPr>
      <w:r>
        <w:rPr>
          <w:rFonts w:cs="Arial Narrow"/>
          <w:b w:val="false"/>
          <w:bCs w:val="false"/>
          <w:highlight w:val="yellow"/>
        </w:rPr>
      </w:r>
    </w:p>
    <w:p>
      <w:pPr>
        <w:pStyle w:val="Normal"/>
        <w:numPr>
          <w:ilvl w:val="0"/>
          <w:numId w:val="11"/>
        </w:numPr>
        <w:spacing w:before="0" w:after="0"/>
        <w:jc w:val="both"/>
        <w:rPr>
          <w:rFonts w:ascii="Liberation Serif" w:hAnsi="Liberation Serif" w:cs="Arial Narrow"/>
          <w:b w:val="false"/>
          <w:b w:val="false"/>
          <w:bCs w:val="false"/>
        </w:rPr>
      </w:pPr>
      <w:r>
        <w:rPr>
          <w:rFonts w:cs="Times New Roman"/>
          <w:b w:val="false"/>
          <w:bCs w:val="false"/>
          <w:sz w:val="24"/>
          <w:szCs w:val="24"/>
        </w:rPr>
        <w:t xml:space="preserve">La forma de conceptualizar las condiciones objetivas: la prioridad de la integración (Parsons </w:t>
      </w:r>
      <w:r>
        <w:rPr>
          <w:rFonts w:cs="Times New Roman"/>
          <w:b w:val="false"/>
          <w:bCs w:val="false"/>
          <w:sz w:val="24"/>
          <w:szCs w:val="24"/>
        </w:rPr>
        <w:t>y otros</w:t>
      </w:r>
      <w:r>
        <w:rPr>
          <w:rFonts w:cs="Times New Roman"/>
          <w:b w:val="false"/>
          <w:bCs w:val="false"/>
          <w:sz w:val="24"/>
          <w:szCs w:val="24"/>
        </w:rPr>
        <w:t>, 1968: 34-48</w:t>
      </w:r>
      <w:r>
        <w:rPr>
          <w:rFonts w:cs="Times New Roman"/>
          <w:b w:val="false"/>
          <w:bCs w:val="false"/>
          <w:sz w:val="24"/>
          <w:szCs w:val="24"/>
        </w:rPr>
        <w:t xml:space="preserve">). </w:t>
      </w:r>
      <w:r>
        <w:rPr>
          <w:rFonts w:cs="Arial Narrow"/>
          <w:b w:val="false"/>
          <w:bCs w:val="false"/>
          <w:sz w:val="24"/>
          <w:szCs w:val="24"/>
        </w:rPr>
        <w:t>La noción de sistema: foco integrativo y foco de asignación. Las ideas de “sistema de acción” y de “marco de referencia de la acción”.</w:t>
      </w:r>
    </w:p>
    <w:p>
      <w:pPr>
        <w:pStyle w:val="Normal"/>
        <w:numPr>
          <w:ilvl w:val="0"/>
          <w:numId w:val="11"/>
        </w:numPr>
        <w:spacing w:before="0" w:after="0"/>
        <w:jc w:val="both"/>
        <w:rPr>
          <w:rFonts w:ascii="Liberation Serif" w:hAnsi="Liberation Serif"/>
          <w:b w:val="false"/>
          <w:b w:val="false"/>
          <w:bCs w:val="false"/>
        </w:rPr>
      </w:pPr>
      <w:r>
        <w:rPr>
          <w:rFonts w:cs="Arial Narrow"/>
          <w:b w:val="false"/>
          <w:bCs w:val="false"/>
        </w:rPr>
        <w:t xml:space="preserve">Personalidad, cultura y sociedad como subsistemas </w:t>
      </w:r>
      <w:r>
        <w:rPr>
          <w:rFonts w:cs="Arial Narrow"/>
          <w:b w:val="false"/>
          <w:bCs w:val="false"/>
        </w:rPr>
        <w:t>(Parsons y otros, 1968)</w:t>
      </w:r>
      <w:r>
        <w:rPr>
          <w:rFonts w:cs="Arial Narrow"/>
          <w:b w:val="false"/>
          <w:bCs w:val="false"/>
        </w:rPr>
        <w:t>.</w:t>
      </w:r>
    </w:p>
    <w:p>
      <w:pPr>
        <w:pStyle w:val="Normal"/>
        <w:numPr>
          <w:ilvl w:val="0"/>
          <w:numId w:val="11"/>
        </w:numPr>
        <w:spacing w:lineRule="auto" w:line="276" w:before="0" w:after="0"/>
        <w:jc w:val="both"/>
        <w:rPr>
          <w:rFonts w:ascii="Liberation Serif" w:hAnsi="Liberation Serif"/>
          <w:b w:val="false"/>
          <w:b w:val="false"/>
          <w:bCs w:val="false"/>
          <w:sz w:val="24"/>
          <w:szCs w:val="24"/>
        </w:rPr>
      </w:pPr>
      <w:r>
        <w:rPr>
          <w:rFonts w:cs="Arial Narrow"/>
          <w:b w:val="false"/>
          <w:bCs w:val="false"/>
          <w:sz w:val="24"/>
          <w:szCs w:val="24"/>
        </w:rPr>
        <w:t xml:space="preserve">Estabilidad y cambio </w:t>
      </w:r>
      <w:r>
        <w:rPr>
          <w:rFonts w:cs="Arial Narrow"/>
          <w:b w:val="false"/>
          <w:bCs w:val="false"/>
          <w:sz w:val="24"/>
          <w:szCs w:val="24"/>
        </w:rPr>
        <w:t>(Parsons y Shills, 1968)</w:t>
      </w:r>
      <w:r>
        <w:rPr>
          <w:rFonts w:cs="Arial Narrow"/>
          <w:b w:val="false"/>
          <w:bCs w:val="false"/>
          <w:sz w:val="24"/>
          <w:szCs w:val="24"/>
        </w:rPr>
        <w:t>.</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sz w:val="24"/>
          <w:szCs w:val="24"/>
        </w:rPr>
      </w:pPr>
      <w:r>
        <w:rPr>
          <w:rFonts w:cs="Cambria"/>
          <w:b/>
          <w:sz w:val="24"/>
          <w:szCs w:val="24"/>
        </w:rPr>
        <w:t xml:space="preserve">Unidad </w:t>
      </w:r>
      <w:r>
        <w:rPr>
          <w:rFonts w:cs="Cambria"/>
          <w:b/>
          <w:sz w:val="24"/>
          <w:szCs w:val="24"/>
        </w:rPr>
        <w:t>4</w:t>
      </w:r>
      <w:r>
        <w:rPr>
          <w:rFonts w:cs="Cambria"/>
          <w:b/>
          <w:sz w:val="24"/>
          <w:szCs w:val="24"/>
        </w:rPr>
        <w:t>: El post-estructuralismo (Michel Foucault)</w:t>
      </w:r>
    </w:p>
    <w:p>
      <w:pPr>
        <w:pStyle w:val="Normal"/>
        <w:numPr>
          <w:ilvl w:val="0"/>
          <w:numId w:val="4"/>
        </w:numPr>
        <w:spacing w:lineRule="auto" w:line="240" w:before="120" w:after="0"/>
        <w:ind w:left="0" w:right="0" w:hanging="0"/>
        <w:jc w:val="both"/>
        <w:rPr>
          <w:rFonts w:ascii="Times New Roman" w:hAnsi="Times New Roman" w:cs="Times New Roman"/>
          <w:sz w:val="24"/>
          <w:szCs w:val="24"/>
        </w:rPr>
      </w:pPr>
      <w:r>
        <w:rPr>
          <w:rFonts w:cs="Times New Roman" w:ascii="Times New Roman" w:hAnsi="Times New Roman"/>
          <w:sz w:val="24"/>
          <w:szCs w:val="24"/>
        </w:rPr>
        <w:t xml:space="preserve">El saber (Foucault, 1995a: 13-33). El eje saber / poder. El poder como prohibición (Foucault, 1995b: 45-54). El poder como producción (Foucault; 1995b: 55-61; 1982: 1-21). </w:t>
      </w:r>
    </w:p>
    <w:p>
      <w:pPr>
        <w:pStyle w:val="ListParagraph"/>
        <w:numPr>
          <w:ilvl w:val="0"/>
          <w:numId w:val="4"/>
        </w:numPr>
        <w:spacing w:lineRule="auto" w:line="240" w:before="120" w:after="0"/>
        <w:ind w:left="0" w:right="0" w:hanging="0"/>
        <w:jc w:val="both"/>
        <w:rPr>
          <w:rFonts w:ascii="Times New Roman" w:hAnsi="Times New Roman" w:cs="Times New Roman"/>
          <w:sz w:val="24"/>
          <w:szCs w:val="24"/>
        </w:rPr>
      </w:pPr>
      <w:r>
        <w:rPr>
          <w:rFonts w:cs="Times New Roman" w:ascii="Times New Roman" w:hAnsi="Times New Roman"/>
          <w:sz w:val="24"/>
          <w:szCs w:val="24"/>
        </w:rPr>
        <w:t xml:space="preserve">La producción histórica del sujeto. El proceso de individualización, totalización, sujeción, subjetivación. (Foucault, 1992: 7-29; 1995a: 13-33; 1995b: 45-61; 1982: 1-21). </w:t>
      </w:r>
    </w:p>
    <w:p>
      <w:pPr>
        <w:pStyle w:val="ListParagraph"/>
        <w:numPr>
          <w:ilvl w:val="0"/>
          <w:numId w:val="4"/>
        </w:numPr>
        <w:spacing w:lineRule="auto" w:line="240" w:before="120" w:after="0"/>
        <w:ind w:left="0" w:right="0" w:hanging="0"/>
        <w:jc w:val="both"/>
        <w:rPr>
          <w:rFonts w:ascii="Times New Roman" w:hAnsi="Times New Roman" w:cs="Times New Roman"/>
          <w:sz w:val="24"/>
          <w:szCs w:val="24"/>
        </w:rPr>
      </w:pPr>
      <w:r>
        <w:rPr>
          <w:rFonts w:cs="Times New Roman" w:ascii="Times New Roman" w:hAnsi="Times New Roman"/>
          <w:sz w:val="24"/>
          <w:szCs w:val="24"/>
        </w:rPr>
        <w:t>Las prácticas (Foucault, 1995a: 13-33; 1995b: 55-61; 1982: 1-21).</w:t>
      </w:r>
    </w:p>
    <w:p>
      <w:pPr>
        <w:pStyle w:val="Normal"/>
        <w:spacing w:lineRule="auto" w:line="276" w:before="57" w:after="57"/>
        <w:ind w:left="0" w:right="0" w:hanging="0"/>
        <w:jc w:val="both"/>
        <w:rPr>
          <w:rFonts w:ascii="Liberation Serif" w:hAnsi="Liberation Serif" w:cs="Cambria"/>
          <w:b/>
          <w:b/>
          <w:bCs w:val="false"/>
          <w:sz w:val="24"/>
          <w:szCs w:val="24"/>
        </w:rPr>
      </w:pPr>
      <w:r>
        <w:rPr>
          <w:rFonts w:cs="Cambria"/>
          <w:b/>
          <w:bCs w:val="false"/>
          <w:sz w:val="24"/>
          <w:szCs w:val="24"/>
        </w:rPr>
      </w:r>
    </w:p>
    <w:p>
      <w:pPr>
        <w:pStyle w:val="Normal"/>
        <w:spacing w:lineRule="auto" w:line="276" w:before="57" w:after="57"/>
        <w:ind w:left="0" w:right="0" w:hanging="0"/>
        <w:jc w:val="both"/>
        <w:rPr>
          <w:rFonts w:ascii="Liberation Serif" w:hAnsi="Liberation Serif"/>
          <w:sz w:val="24"/>
          <w:szCs w:val="24"/>
        </w:rPr>
      </w:pPr>
      <w:r>
        <w:rPr>
          <w:rFonts w:cs="Cambria"/>
          <w:b/>
          <w:sz w:val="24"/>
          <w:szCs w:val="24"/>
        </w:rPr>
        <w:t xml:space="preserve">Unidad </w:t>
      </w:r>
      <w:r>
        <w:rPr>
          <w:rFonts w:cs="Cambria"/>
          <w:b/>
          <w:sz w:val="24"/>
          <w:szCs w:val="24"/>
        </w:rPr>
        <w:t>5</w:t>
      </w:r>
      <w:r>
        <w:rPr>
          <w:rFonts w:cs="Cambria"/>
          <w:b/>
          <w:sz w:val="24"/>
          <w:szCs w:val="24"/>
        </w:rPr>
        <w:t>: La Teoría Crítica (Jürgen Habermas)</w:t>
      </w:r>
    </w:p>
    <w:p>
      <w:pPr>
        <w:pStyle w:val="ListParagraph"/>
        <w:spacing w:lineRule="auto" w:line="240" w:before="120" w:after="0"/>
        <w:ind w:left="737" w:right="0" w:hanging="737"/>
        <w:contextualSpacing/>
        <w:rPr>
          <w:rFonts w:ascii="Times New Roman" w:hAnsi="Times New Roman"/>
          <w:sz w:val="24"/>
          <w:szCs w:val="24"/>
        </w:rPr>
      </w:pPr>
      <w:r>
        <w:rPr>
          <w:rFonts w:cs="Cambria"/>
          <w:sz w:val="24"/>
          <w:szCs w:val="24"/>
        </w:rPr>
        <w:t xml:space="preserve">1. </w:t>
      </w:r>
      <w:r>
        <w:rPr>
          <w:rFonts w:cs="Times New Roman" w:ascii="Times New Roman" w:hAnsi="Times New Roman"/>
          <w:sz w:val="24"/>
          <w:szCs w:val="24"/>
        </w:rPr>
        <w:t>El sujeto de la acción comunicativa (Habermas, 1994: 479-507).</w:t>
      </w:r>
    </w:p>
    <w:p>
      <w:pPr>
        <w:pStyle w:val="ListParagraph"/>
        <w:spacing w:lineRule="auto" w:line="240" w:before="120" w:after="0"/>
        <w:ind w:left="0" w:right="0" w:hanging="0"/>
        <w:contextualSpacing/>
        <w:jc w:val="both"/>
        <w:rPr>
          <w:rFonts w:ascii="Times New Roman" w:hAnsi="Times New Roman"/>
          <w:sz w:val="24"/>
          <w:szCs w:val="24"/>
        </w:rPr>
      </w:pPr>
      <w:r>
        <w:rPr>
          <w:rFonts w:cs="Times New Roman" w:ascii="Times New Roman" w:hAnsi="Times New Roman"/>
          <w:sz w:val="24"/>
          <w:szCs w:val="24"/>
        </w:rPr>
        <w:t xml:space="preserve">2. </w:t>
      </w:r>
      <w:r>
        <w:rPr>
          <w:rFonts w:cs="Times New Roman" w:ascii="Times New Roman" w:hAnsi="Times New Roman"/>
          <w:sz w:val="24"/>
          <w:szCs w:val="24"/>
        </w:rPr>
        <w:t xml:space="preserve">Integración de los paradigmas “sistema” y “mundo de la vida” (Habermas, 1987: 161-280; Habermas, 1994: 479-507). </w:t>
      </w:r>
    </w:p>
    <w:p>
      <w:pPr>
        <w:pStyle w:val="ListParagraph"/>
        <w:spacing w:lineRule="auto" w:line="240" w:before="120" w:after="0"/>
        <w:ind w:left="0" w:right="0" w:hanging="0"/>
        <w:contextualSpacing/>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 xml:space="preserve">3. </w:t>
      </w:r>
      <w:r>
        <w:rPr>
          <w:rFonts w:cs="Times New Roman" w:ascii="Times New Roman" w:hAnsi="Times New Roman"/>
          <w:b w:val="false"/>
          <w:bCs w:val="false"/>
          <w:sz w:val="24"/>
          <w:szCs w:val="24"/>
        </w:rPr>
        <w:t>La acción comunicativa como base de la teoría de la sociedad. Cuatro conceptos sociológicos de acción (Habermas, 1994: 479-507).</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t xml:space="preserve">Unidad </w:t>
      </w:r>
      <w:r>
        <w:rPr>
          <w:rFonts w:cs="Cambria"/>
          <w:b/>
          <w:sz w:val="24"/>
          <w:szCs w:val="24"/>
        </w:rPr>
        <w:t>6</w:t>
      </w:r>
      <w:r>
        <w:rPr>
          <w:rFonts w:cs="Cambria"/>
          <w:b/>
          <w:sz w:val="24"/>
          <w:szCs w:val="24"/>
        </w:rPr>
        <w:t>: El enfoque pragmático-estratégico (Pierre Bourdieu)</w:t>
      </w:r>
    </w:p>
    <w:p>
      <w:pPr>
        <w:pStyle w:val="Normal"/>
        <w:numPr>
          <w:ilvl w:val="0"/>
          <w:numId w:val="5"/>
        </w:numPr>
        <w:spacing w:lineRule="auto" w:line="240" w:before="120" w:after="0"/>
        <w:ind w:left="0" w:right="0" w:hanging="0"/>
        <w:jc w:val="both"/>
        <w:rPr>
          <w:rFonts w:ascii="Times New Roman" w:hAnsi="Times New Roman" w:cs="Times New Roman"/>
          <w:sz w:val="24"/>
          <w:szCs w:val="24"/>
        </w:rPr>
      </w:pPr>
      <w:r>
        <w:rPr>
          <w:rFonts w:cs="Times New Roman" w:ascii="Times New Roman" w:hAnsi="Times New Roman"/>
          <w:sz w:val="24"/>
          <w:szCs w:val="24"/>
        </w:rPr>
        <w:t xml:space="preserve">La forma de conceptualizar los sujetos: enfoque pragmático-estratégico. </w:t>
      </w:r>
      <w:r>
        <w:rPr>
          <w:rFonts w:cs="Times New Roman" w:ascii="Times New Roman" w:hAnsi="Times New Roman"/>
          <w:sz w:val="24"/>
          <w:szCs w:val="24"/>
        </w:rPr>
        <w:t>El agente social: posiciones, disposiciones y tomas de posición (Bourdieu, 1991: 91-111 y 1995: 63-99)</w:t>
      </w:r>
    </w:p>
    <w:p>
      <w:pPr>
        <w:pStyle w:val="Normal"/>
        <w:numPr>
          <w:ilvl w:val="0"/>
          <w:numId w:val="5"/>
        </w:numPr>
        <w:spacing w:lineRule="auto" w:line="240" w:before="120" w:after="0"/>
        <w:ind w:left="0" w:right="0" w:hanging="0"/>
        <w:jc w:val="both"/>
        <w:rPr>
          <w:rFonts w:ascii="Times New Roman" w:hAnsi="Times New Roman" w:cs="Times New Roman"/>
          <w:sz w:val="24"/>
          <w:szCs w:val="24"/>
        </w:rPr>
      </w:pPr>
      <w:r>
        <w:rPr>
          <w:rFonts w:cs="Times New Roman" w:ascii="Times New Roman" w:hAnsi="Times New Roman"/>
          <w:sz w:val="24"/>
          <w:szCs w:val="24"/>
        </w:rPr>
        <w:t>La forma de conceptualizar las condiciones objetivas: la prioridad de la distribución desigual. Capitales, campos y clases sociales (Bourdieu, 1990: 281-309; 1995: 63-78).</w:t>
      </w:r>
    </w:p>
    <w:p>
      <w:pPr>
        <w:pStyle w:val="Normal"/>
        <w:numPr>
          <w:ilvl w:val="0"/>
          <w:numId w:val="5"/>
        </w:numPr>
        <w:spacing w:lineRule="auto" w:line="240" w:before="120" w:after="0"/>
        <w:ind w:left="0" w:right="0" w:hanging="0"/>
        <w:jc w:val="both"/>
        <w:rPr>
          <w:rFonts w:ascii="Times New Roman" w:hAnsi="Times New Roman" w:cs="Times New Roman"/>
          <w:sz w:val="24"/>
          <w:szCs w:val="24"/>
        </w:rPr>
      </w:pPr>
      <w:r>
        <w:rPr>
          <w:rFonts w:cs="Times New Roman" w:ascii="Times New Roman" w:hAnsi="Times New Roman"/>
          <w:sz w:val="24"/>
          <w:szCs w:val="24"/>
        </w:rPr>
        <w:t>Las prácticas. La relación entre estructuras sociales y estructuras mentales, posición y habitus. Producción del habitus, (re)producción de las condiciones objetivas y la capacidad de ruptura de la “reflexión crítica”. Poder simbólico, violencia simbólica (Bourdieu, 1988: 127-142; 1989: 7-15 y 1991: 227-237).</w:t>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r>
    </w:p>
    <w:p>
      <w:pPr>
        <w:pStyle w:val="Normal"/>
        <w:spacing w:lineRule="auto" w:line="240" w:before="12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spacing w:lineRule="auto" w:line="276" w:before="57" w:after="57"/>
        <w:jc w:val="both"/>
        <w:rPr>
          <w:rFonts w:ascii="Liberation Serif" w:hAnsi="Liberation Serif" w:cs="Cambria"/>
          <w:b/>
          <w:b/>
          <w:sz w:val="24"/>
          <w:szCs w:val="24"/>
        </w:rPr>
      </w:pPr>
      <w:r>
        <w:rPr>
          <w:rFonts w:cs="Cambria"/>
          <w:b/>
          <w:sz w:val="24"/>
          <w:szCs w:val="24"/>
        </w:rPr>
        <w:t>Bibliografía</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t xml:space="preserve">A continuación, se señala sólo la bibliografía a la que se hizo referencia en el programa. </w:t>
      </w:r>
      <w:r>
        <w:rPr>
          <w:rFonts w:cs="Cambria"/>
          <w:sz w:val="24"/>
          <w:szCs w:val="24"/>
        </w:rPr>
        <w:t>Salvo en la Unidad 1, l</w:t>
      </w:r>
      <w:r>
        <w:rPr>
          <w:rFonts w:cs="Cambria"/>
          <w:sz w:val="24"/>
          <w:szCs w:val="24"/>
        </w:rPr>
        <w:t xml:space="preserve">a bibliografía del curso cuenta con textos </w:t>
      </w:r>
      <w:r>
        <w:rPr>
          <w:rFonts w:cs="Cambria"/>
          <w:sz w:val="24"/>
          <w:szCs w:val="24"/>
        </w:rPr>
        <w:t>de cada</w:t>
      </w:r>
      <w:r>
        <w:rPr>
          <w:rFonts w:cs="Cambria"/>
          <w:sz w:val="24"/>
          <w:szCs w:val="24"/>
        </w:rPr>
        <w:t xml:space="preserve"> autor en los que conceptualiza las condiciones objetivas, los sujetos y el vínculo entre ambos.</w:t>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t>Para ampliar y profundizar, se sugiere: (1) leer completo el libro del cual se toma sólo una parte de la bibliografía y (2) pasar a otros libros del mismo autor.</w:t>
      </w:r>
    </w:p>
    <w:p>
      <w:pPr>
        <w:pStyle w:val="Normal"/>
        <w:spacing w:lineRule="auto" w:line="276" w:before="57" w:after="57"/>
        <w:ind w:left="0" w:right="0" w:hanging="0"/>
        <w:jc w:val="both"/>
        <w:rPr>
          <w:rFonts w:ascii="Liberation Serif" w:hAnsi="Liberation Serif"/>
          <w:sz w:val="24"/>
          <w:szCs w:val="24"/>
        </w:rPr>
      </w:pPr>
      <w:r>
        <w:rPr>
          <w:rFonts w:cs="Cambria"/>
          <w:sz w:val="24"/>
          <w:szCs w:val="24"/>
        </w:rPr>
        <w:t xml:space="preserve">A modo de introducción al estudio de cada autor, sobre Schutz, </w:t>
      </w:r>
      <w:r>
        <w:rPr>
          <w:rFonts w:cs="Cambria"/>
          <w:sz w:val="24"/>
          <w:szCs w:val="24"/>
        </w:rPr>
        <w:t xml:space="preserve">Parsons, </w:t>
      </w:r>
      <w:r>
        <w:rPr>
          <w:rFonts w:cs="Cambria"/>
          <w:sz w:val="24"/>
          <w:szCs w:val="24"/>
        </w:rPr>
        <w:t xml:space="preserve">Habermas, Foucault y Bourdieu puede consultarse: Ritzer, George (1993) </w:t>
      </w:r>
      <w:r>
        <w:rPr>
          <w:rFonts w:cs="Cambria"/>
          <w:i/>
          <w:sz w:val="24"/>
          <w:szCs w:val="24"/>
        </w:rPr>
        <w:t>Teoría Sociológica Contemporánea</w:t>
      </w:r>
      <w:r>
        <w:rPr>
          <w:rFonts w:cs="Cambria"/>
          <w:sz w:val="24"/>
          <w:szCs w:val="24"/>
        </w:rPr>
        <w:t xml:space="preserve">, Mc Graw Hill, Madrid; </w:t>
      </w:r>
      <w:r>
        <w:rPr>
          <w:rFonts w:cs="Cambria"/>
          <w:sz w:val="24"/>
          <w:szCs w:val="24"/>
        </w:rPr>
        <w:t>sobre Durkheim, Marx y Weber, consultar los textos sugeridos en la bibliografía de la Unidad 1.</w:t>
      </w:r>
    </w:p>
    <w:p>
      <w:pPr>
        <w:pStyle w:val="Normal"/>
        <w:spacing w:lineRule="auto" w:line="276" w:before="57" w:after="57"/>
        <w:ind w:left="0" w:right="0" w:firstLine="284"/>
        <w:jc w:val="both"/>
        <w:rPr>
          <w:rFonts w:ascii="Liberation Serif" w:hAnsi="Liberation Serif" w:cs="Cambria"/>
          <w:sz w:val="24"/>
          <w:szCs w:val="24"/>
          <w:highlight w:val="yellow"/>
        </w:rPr>
      </w:pPr>
      <w:r>
        <w:rPr>
          <w:rFonts w:cs="Cambria"/>
          <w:sz w:val="24"/>
          <w:szCs w:val="24"/>
          <w:highlight w:val="yellow"/>
        </w:rPr>
      </w:r>
    </w:p>
    <w:p>
      <w:pPr>
        <w:pStyle w:val="Normal"/>
        <w:spacing w:lineRule="auto" w:line="276" w:before="57" w:after="57"/>
        <w:ind w:left="284" w:right="0" w:hanging="284"/>
        <w:jc w:val="both"/>
        <w:rPr>
          <w:rFonts w:ascii="Liberation Serif" w:hAnsi="Liberation Serif" w:cs="Cambria"/>
          <w:b/>
          <w:b/>
          <w:sz w:val="24"/>
          <w:szCs w:val="24"/>
        </w:rPr>
      </w:pPr>
      <w:r>
        <w:rPr>
          <w:rFonts w:cs="Cambria"/>
          <w:b/>
          <w:sz w:val="24"/>
          <w:szCs w:val="24"/>
        </w:rPr>
        <w:t>Unidad 1</w:t>
      </w:r>
    </w:p>
    <w:p>
      <w:pPr>
        <w:pStyle w:val="Normal"/>
        <w:spacing w:before="0" w:after="0"/>
        <w:jc w:val="both"/>
        <w:rPr>
          <w:rFonts w:ascii="Liberation Serif" w:hAnsi="Liberation Serif"/>
          <w:b w:val="false"/>
          <w:b w:val="false"/>
          <w:bCs w:val="false"/>
        </w:rPr>
      </w:pPr>
      <w:r>
        <w:rPr>
          <w:rFonts w:cs="Arial Narrow"/>
          <w:b w:val="false"/>
          <w:bCs w:val="false"/>
        </w:rPr>
        <w:t xml:space="preserve">Alexander, J. (1991). “La centralidad de los clásicos”, en Giddens, A. &amp; Turner, J. y otros. </w:t>
      </w:r>
      <w:r>
        <w:rPr>
          <w:rFonts w:cs="Arial Narrow"/>
          <w:b w:val="false"/>
          <w:bCs w:val="false"/>
          <w:i/>
        </w:rPr>
        <w:t>La teoría social, hoy</w:t>
      </w:r>
      <w:r>
        <w:rPr>
          <w:rFonts w:cs="Arial Narrow"/>
          <w:b w:val="false"/>
          <w:bCs w:val="false"/>
        </w:rPr>
        <w:t>, Madrid, Alienza</w:t>
      </w:r>
    </w:p>
    <w:p>
      <w:pPr>
        <w:pStyle w:val="Normal"/>
        <w:spacing w:before="0" w:after="0"/>
        <w:jc w:val="both"/>
        <w:rPr>
          <w:rFonts w:ascii="Liberation Serif" w:hAnsi="Liberation Serif"/>
          <w:b w:val="false"/>
          <w:b w:val="false"/>
          <w:bCs w:val="false"/>
        </w:rPr>
      </w:pPr>
      <w:r>
        <w:rPr>
          <w:rFonts w:cs="Arial Narrow"/>
          <w:b w:val="false"/>
          <w:bCs w:val="false"/>
        </w:rPr>
        <w:t xml:space="preserve">Aron, R. (1976). “Emile Durkheim”, en </w:t>
      </w:r>
      <w:r>
        <w:rPr>
          <w:rFonts w:cs="Arial Narrow"/>
          <w:b w:val="false"/>
          <w:bCs w:val="false"/>
          <w:i/>
        </w:rPr>
        <w:t>Las etapas del pensamiento sociológico II</w:t>
      </w:r>
      <w:r>
        <w:rPr>
          <w:rFonts w:cs="Arial Narrow"/>
          <w:b w:val="false"/>
          <w:bCs w:val="false"/>
        </w:rPr>
        <w:t>, Buenos Aires, Siglo XX.</w:t>
      </w:r>
    </w:p>
    <w:p>
      <w:pPr>
        <w:pStyle w:val="Normal"/>
        <w:spacing w:lineRule="auto" w:line="276" w:before="0" w:after="0"/>
        <w:jc w:val="both"/>
        <w:rPr>
          <w:rFonts w:ascii="Liberation Serif" w:hAnsi="Liberation Serif" w:cs="Cambria"/>
          <w:b w:val="false"/>
          <w:b w:val="false"/>
          <w:bCs w:val="false"/>
          <w:sz w:val="24"/>
          <w:szCs w:val="24"/>
        </w:rPr>
      </w:pPr>
      <w:r>
        <w:rPr>
          <w:rFonts w:cs="Arial Narrow"/>
          <w:b w:val="false"/>
          <w:bCs w:val="false"/>
          <w:sz w:val="24"/>
          <w:szCs w:val="24"/>
        </w:rPr>
        <w:t xml:space="preserve">Giner, S. (2004). “Conflicto social y emancipación humana: Karl Marx y Fiedrich Engels” y “Racionalidad, historia y modernidad: Max Weber”, en </w:t>
      </w:r>
      <w:r>
        <w:rPr>
          <w:rFonts w:cs="Arial Narrow"/>
          <w:b w:val="false"/>
          <w:bCs w:val="false"/>
          <w:i/>
          <w:sz w:val="24"/>
          <w:szCs w:val="24"/>
        </w:rPr>
        <w:t>Teoría Sociológica clásica</w:t>
      </w:r>
      <w:r>
        <w:rPr>
          <w:rFonts w:cs="Arial Narrow"/>
          <w:b w:val="false"/>
          <w:bCs w:val="false"/>
          <w:sz w:val="24"/>
          <w:szCs w:val="24"/>
        </w:rPr>
        <w:t xml:space="preserve">, Barcelona, Ariel. </w:t>
      </w:r>
    </w:p>
    <w:p>
      <w:pPr>
        <w:pStyle w:val="Normal"/>
        <w:spacing w:lineRule="auto" w:line="276" w:before="0" w:after="0"/>
        <w:jc w:val="both"/>
        <w:rPr>
          <w:rFonts w:ascii="Liberation Serif" w:hAnsi="Liberation Serif" w:cs="Arial Narrow"/>
          <w:b w:val="false"/>
          <w:b w:val="false"/>
          <w:bCs w:val="false"/>
          <w:sz w:val="24"/>
          <w:szCs w:val="24"/>
        </w:rPr>
      </w:pPr>
      <w:r>
        <w:rPr>
          <w:rFonts w:cs="Arial Narrow"/>
          <w:b w:val="false"/>
          <w:bCs w:val="false"/>
          <w:sz w:val="24"/>
          <w:szCs w:val="24"/>
        </w:rPr>
      </w:r>
    </w:p>
    <w:p>
      <w:pPr>
        <w:pStyle w:val="Normal"/>
        <w:spacing w:lineRule="auto" w:line="276" w:before="57" w:after="57"/>
        <w:ind w:left="284" w:right="0" w:hanging="284"/>
        <w:jc w:val="both"/>
        <w:rPr>
          <w:rFonts w:ascii="Liberation Serif" w:hAnsi="Liberation Serif" w:cs="Cambria"/>
          <w:b/>
          <w:b/>
          <w:sz w:val="24"/>
          <w:szCs w:val="24"/>
        </w:rPr>
      </w:pPr>
      <w:r>
        <w:rPr>
          <w:rFonts w:cs="Cambria"/>
          <w:b/>
          <w:sz w:val="24"/>
          <w:szCs w:val="24"/>
        </w:rPr>
        <w:t>Unidad 2</w:t>
      </w:r>
    </w:p>
    <w:p>
      <w:pPr>
        <w:pStyle w:val="Normal"/>
        <w:spacing w:lineRule="auto" w:line="276" w:before="57" w:after="57"/>
        <w:ind w:left="284" w:right="0" w:hanging="284"/>
        <w:jc w:val="both"/>
        <w:rPr>
          <w:rFonts w:ascii="Liberation Serif" w:hAnsi="Liberation Serif"/>
          <w:sz w:val="24"/>
          <w:szCs w:val="24"/>
        </w:rPr>
      </w:pPr>
      <w:r>
        <w:rPr>
          <w:rFonts w:cs="Arial"/>
          <w:sz w:val="24"/>
          <w:szCs w:val="24"/>
        </w:rPr>
        <w:t xml:space="preserve">Schutz, Alfred (1974) “El sentido común y la interpretación científica de la acción humana”, en: </w:t>
      </w:r>
      <w:r>
        <w:rPr>
          <w:rFonts w:cs="Arial"/>
          <w:i/>
          <w:iCs/>
          <w:sz w:val="24"/>
          <w:szCs w:val="24"/>
        </w:rPr>
        <w:t>El problema de la realidad social</w:t>
      </w:r>
      <w:r>
        <w:rPr>
          <w:rFonts w:cs="Arial"/>
          <w:sz w:val="24"/>
          <w:szCs w:val="24"/>
        </w:rPr>
        <w:t xml:space="preserve">, Buenos Aires, Amorrortu, págs. 35-70. </w:t>
      </w:r>
    </w:p>
    <w:p>
      <w:pPr>
        <w:pStyle w:val="Normal"/>
        <w:spacing w:lineRule="auto" w:line="276" w:before="57" w:after="57"/>
        <w:ind w:left="284" w:right="0" w:hanging="284"/>
        <w:jc w:val="both"/>
        <w:rPr>
          <w:rFonts w:ascii="Liberation Serif" w:hAnsi="Liberation Serif"/>
          <w:sz w:val="24"/>
          <w:szCs w:val="24"/>
        </w:rPr>
      </w:pPr>
      <w:r>
        <w:rPr>
          <w:rFonts w:cs="Cambria"/>
          <w:sz w:val="24"/>
          <w:szCs w:val="24"/>
        </w:rPr>
        <w:t xml:space="preserve">Schutz, Alfred y Luckmann, Thomas (1977) </w:t>
      </w:r>
      <w:r>
        <w:rPr>
          <w:rFonts w:cs="Arial"/>
          <w:sz w:val="24"/>
          <w:szCs w:val="24"/>
        </w:rPr>
        <w:t xml:space="preserve">“El conocimiento del mundo de la vida”, en: </w:t>
      </w:r>
      <w:r>
        <w:rPr>
          <w:rFonts w:cs="Cambria"/>
          <w:i/>
          <w:sz w:val="24"/>
          <w:szCs w:val="24"/>
        </w:rPr>
        <w:t>Las estructuras del mundo de la vida</w:t>
      </w:r>
      <w:r>
        <w:rPr>
          <w:rFonts w:cs="Cambria"/>
          <w:sz w:val="24"/>
          <w:szCs w:val="24"/>
        </w:rPr>
        <w:t>, Amorrortu, Buenos Aires, págs. 109-235.</w:t>
      </w:r>
    </w:p>
    <w:p>
      <w:pPr>
        <w:pStyle w:val="Normal"/>
        <w:spacing w:lineRule="auto" w:line="276" w:before="57" w:after="57"/>
        <w:ind w:left="426" w:right="0" w:hanging="426"/>
        <w:jc w:val="both"/>
        <w:rPr>
          <w:rFonts w:ascii="Liberation Serif" w:hAnsi="Liberation Serif" w:cs="Cambria"/>
          <w:bCs/>
          <w:sz w:val="24"/>
          <w:szCs w:val="24"/>
        </w:rPr>
      </w:pPr>
      <w:r>
        <w:rPr>
          <w:rFonts w:cs="Cambria"/>
          <w:bCs/>
          <w:sz w:val="24"/>
          <w:szCs w:val="24"/>
        </w:rPr>
      </w:r>
    </w:p>
    <w:p>
      <w:pPr>
        <w:pStyle w:val="Normal"/>
        <w:spacing w:lineRule="auto" w:line="276" w:before="57" w:after="57"/>
        <w:ind w:left="284" w:right="0" w:hanging="284"/>
        <w:jc w:val="both"/>
        <w:rPr/>
      </w:pPr>
      <w:r>
        <w:rPr>
          <w:rFonts w:cs="Cambria"/>
          <w:b/>
          <w:sz w:val="24"/>
          <w:szCs w:val="24"/>
        </w:rPr>
        <w:t xml:space="preserve">Unidad </w:t>
      </w:r>
      <w:r>
        <w:rPr>
          <w:rFonts w:cs="Cambria"/>
          <w:b/>
          <w:sz w:val="24"/>
          <w:szCs w:val="24"/>
        </w:rPr>
        <w:t>3</w:t>
      </w:r>
    </w:p>
    <w:p>
      <w:pPr>
        <w:pStyle w:val="Normal"/>
        <w:spacing w:lineRule="auto" w:line="240" w:before="120" w:after="0"/>
        <w:ind w:left="0" w:right="0" w:hanging="0"/>
        <w:jc w:val="both"/>
        <w:rPr/>
      </w:pPr>
      <w:r>
        <w:rPr>
          <w:rFonts w:cs="Times New Roman" w:ascii="Times New Roman" w:hAnsi="Times New Roman"/>
          <w:b w:val="false"/>
          <w:bCs w:val="false"/>
          <w:sz w:val="24"/>
          <w:szCs w:val="24"/>
        </w:rPr>
        <w:t xml:space="preserve">Parsons, T. </w:t>
      </w:r>
      <w:r>
        <w:rPr>
          <w:rFonts w:cs="Times New Roman" w:ascii="Times New Roman" w:hAnsi="Times New Roman"/>
          <w:b w:val="false"/>
          <w:bCs w:val="false"/>
          <w:sz w:val="24"/>
          <w:szCs w:val="24"/>
        </w:rPr>
        <w:t>y otros</w:t>
      </w:r>
      <w:r>
        <w:rPr>
          <w:rFonts w:cs="Times New Roman" w:ascii="Times New Roman" w:hAnsi="Times New Roman"/>
          <w:b w:val="false"/>
          <w:bCs w:val="false"/>
          <w:sz w:val="24"/>
          <w:szCs w:val="24"/>
        </w:rPr>
        <w:t xml:space="preserve"> (1968). “Algunas categorías fundamentales de la teoría de la acción: exposición general”, en: Parsons, T. &amp; Shills, E (Dir.). </w:t>
      </w:r>
      <w:r>
        <w:rPr>
          <w:rFonts w:cs="Times New Roman" w:ascii="Times New Roman" w:hAnsi="Times New Roman"/>
          <w:b w:val="false"/>
          <w:bCs w:val="false"/>
          <w:i/>
          <w:iCs/>
          <w:sz w:val="24"/>
          <w:szCs w:val="24"/>
        </w:rPr>
        <w:t>Hacia una teoría general de la acción</w:t>
      </w:r>
      <w:r>
        <w:rPr>
          <w:rFonts w:cs="Times New Roman" w:ascii="Times New Roman" w:hAnsi="Times New Roman"/>
          <w:b w:val="false"/>
          <w:bCs w:val="false"/>
          <w:sz w:val="24"/>
          <w:szCs w:val="24"/>
        </w:rPr>
        <w:t xml:space="preserve">, Buenos Aires, Kapeluz, </w:t>
      </w:r>
      <w:r>
        <w:rPr>
          <w:rFonts w:cs="Times New Roman" w:ascii="Times New Roman" w:hAnsi="Times New Roman"/>
          <w:b w:val="false"/>
          <w:bCs w:val="false"/>
          <w:sz w:val="24"/>
          <w:szCs w:val="24"/>
        </w:rPr>
        <w:t>págs.</w:t>
      </w:r>
      <w:r>
        <w:rPr>
          <w:rFonts w:cs="Times New Roman" w:ascii="Times New Roman" w:hAnsi="Times New Roman"/>
          <w:b w:val="false"/>
          <w:bCs w:val="false"/>
          <w:sz w:val="24"/>
          <w:szCs w:val="24"/>
        </w:rPr>
        <w:t xml:space="preserve"> 19-48.</w:t>
      </w:r>
    </w:p>
    <w:p>
      <w:pPr>
        <w:pStyle w:val="Normal"/>
        <w:spacing w:lineRule="auto" w:line="240" w:before="120" w:after="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Parsons, T. &amp; Shills, E. (1968). “Los valores, los motivos y los sistemas de acción”, en: Parsons, T. &amp; Shills, E (Dir.). Hacia una teoría general de la acción, Buenos Aires, Kapeluz [Introducción, capítulo 1, y conclusiones, +: capítulo 2, 3 o 4].</w:t>
      </w:r>
    </w:p>
    <w:p>
      <w:pPr>
        <w:pStyle w:val="Normal"/>
        <w:spacing w:lineRule="auto" w:line="240" w:before="120" w:after="0"/>
        <w:ind w:left="0" w:righ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76" w:before="57" w:after="57"/>
        <w:ind w:left="284" w:right="0" w:hanging="284"/>
        <w:jc w:val="both"/>
        <w:rPr>
          <w:rFonts w:ascii="Liberation Serif" w:hAnsi="Liberation Serif" w:cs="Cambria"/>
          <w:b/>
          <w:b/>
          <w:sz w:val="24"/>
          <w:szCs w:val="24"/>
        </w:rPr>
      </w:pPr>
      <w:r>
        <w:rPr>
          <w:rFonts w:cs="Cambria"/>
          <w:b/>
          <w:sz w:val="24"/>
          <w:szCs w:val="24"/>
        </w:rPr>
        <w:t>Unidad 4</w:t>
      </w:r>
    </w:p>
    <w:p>
      <w:pPr>
        <w:pStyle w:val="Normal"/>
        <w:spacing w:lineRule="auto" w:line="240" w:before="120" w:after="0"/>
        <w:ind w:left="0" w:right="0" w:hanging="0"/>
        <w:jc w:val="both"/>
        <w:rPr/>
      </w:pPr>
      <w:r>
        <w:rPr>
          <w:rFonts w:cs="Times New Roman" w:ascii="Times New Roman" w:hAnsi="Times New Roman"/>
          <w:sz w:val="24"/>
          <w:szCs w:val="24"/>
        </w:rPr>
        <w:t xml:space="preserve">Foucault, Michel (1995a) </w:t>
      </w:r>
      <w:r>
        <w:rPr>
          <w:rFonts w:cs="Times New Roman" w:ascii="Times New Roman" w:hAnsi="Times New Roman"/>
          <w:i/>
          <w:sz w:val="24"/>
          <w:szCs w:val="24"/>
        </w:rPr>
        <w:t>La verdad y las formas jurídicas</w:t>
      </w:r>
      <w:r>
        <w:rPr>
          <w:rFonts w:cs="Times New Roman" w:ascii="Times New Roman" w:hAnsi="Times New Roman"/>
          <w:sz w:val="24"/>
          <w:szCs w:val="24"/>
        </w:rPr>
        <w:t>, Gedisa, Barcelona, págs. 13-33.</w:t>
      </w:r>
    </w:p>
    <w:p>
      <w:pPr>
        <w:pStyle w:val="Normal"/>
        <w:spacing w:lineRule="auto" w:line="240" w:before="120" w:after="0"/>
        <w:ind w:left="0" w:right="0" w:hanging="0"/>
        <w:jc w:val="both"/>
        <w:rPr/>
      </w:pPr>
      <w:r>
        <w:rPr>
          <w:rFonts w:cs="Times New Roman" w:ascii="Times New Roman" w:hAnsi="Times New Roman"/>
          <w:sz w:val="24"/>
          <w:szCs w:val="24"/>
        </w:rPr>
        <w:t xml:space="preserve">Foucault, Michel (1995b) </w:t>
      </w:r>
      <w:r>
        <w:rPr>
          <w:rFonts w:cs="Times New Roman" w:ascii="Times New Roman" w:hAnsi="Times New Roman"/>
          <w:i/>
          <w:sz w:val="24"/>
          <w:szCs w:val="24"/>
        </w:rPr>
        <w:t>Historia de la sexualidad I. La voluntad de saber</w:t>
      </w:r>
      <w:r>
        <w:rPr>
          <w:rFonts w:cs="Times New Roman" w:ascii="Times New Roman" w:hAnsi="Times New Roman"/>
          <w:sz w:val="24"/>
          <w:szCs w:val="24"/>
        </w:rPr>
        <w:t>, Siglo XXI, México, págs. 45-61.</w:t>
      </w:r>
    </w:p>
    <w:p>
      <w:pPr>
        <w:pStyle w:val="Normal"/>
        <w:spacing w:lineRule="auto" w:line="240" w:before="120" w:after="0"/>
        <w:ind w:left="0" w:right="0" w:hanging="0"/>
        <w:jc w:val="both"/>
        <w:rPr/>
      </w:pPr>
      <w:r>
        <w:rPr>
          <w:rFonts w:cs="Times New Roman" w:ascii="Times New Roman" w:hAnsi="Times New Roman"/>
          <w:sz w:val="24"/>
          <w:szCs w:val="24"/>
        </w:rPr>
        <w:t xml:space="preserve">Foucault, Michel (1982) “El sujeto y el poder”, traducción de Santiago Carassale y Angélica Vitale, en: </w:t>
      </w:r>
      <w:r>
        <w:rPr>
          <w:rFonts w:cs="Times New Roman" w:ascii="Times New Roman" w:hAnsi="Times New Roman"/>
          <w:i/>
          <w:sz w:val="24"/>
          <w:szCs w:val="24"/>
        </w:rPr>
        <w:t>Escuela de Filosofía, Universidad de ARCIS</w:t>
      </w:r>
      <w:r>
        <w:rPr>
          <w:rFonts w:cs="Times New Roman" w:ascii="Times New Roman" w:hAnsi="Times New Roman"/>
          <w:sz w:val="24"/>
          <w:szCs w:val="24"/>
        </w:rPr>
        <w:t>. (</w:t>
      </w:r>
      <w:r>
        <w:rPr>
          <w:rFonts w:cs="Times New Roman" w:ascii="Times New Roman" w:hAnsi="Times New Roman"/>
          <w:sz w:val="24"/>
          <w:szCs w:val="24"/>
        </w:rPr>
        <w:t>O</w:t>
      </w:r>
      <w:r>
        <w:rPr>
          <w:rFonts w:cs="Times New Roman" w:ascii="Times New Roman" w:hAnsi="Times New Roman"/>
          <w:sz w:val="24"/>
          <w:szCs w:val="24"/>
        </w:rPr>
        <w:t xml:space="preserve">tra versión en: Terán, Oscar (1995) </w:t>
      </w:r>
      <w:r>
        <w:rPr>
          <w:rFonts w:cs="Times New Roman" w:ascii="Times New Roman" w:hAnsi="Times New Roman"/>
          <w:i/>
          <w:sz w:val="24"/>
          <w:szCs w:val="24"/>
        </w:rPr>
        <w:t>Michel Foucault: discurso, poder y subjetividad</w:t>
      </w:r>
      <w:r>
        <w:rPr>
          <w:rFonts w:cs="Times New Roman" w:ascii="Times New Roman" w:hAnsi="Times New Roman"/>
          <w:sz w:val="24"/>
          <w:szCs w:val="24"/>
        </w:rPr>
        <w:t>, Ediciones El Cielo por Asalto, Buenos Aires, págs. 165-189).</w:t>
      </w:r>
    </w:p>
    <w:p>
      <w:pPr>
        <w:pStyle w:val="Normal"/>
        <w:spacing w:lineRule="auto" w:line="240" w:before="120" w:after="0"/>
        <w:ind w:left="0" w:right="0" w:hanging="0"/>
        <w:jc w:val="both"/>
        <w:rPr/>
      </w:pPr>
      <w:r>
        <w:rPr>
          <w:rFonts w:cs="Times New Roman" w:ascii="Times New Roman" w:hAnsi="Times New Roman"/>
          <w:sz w:val="24"/>
          <w:szCs w:val="24"/>
        </w:rPr>
        <w:t xml:space="preserve">Foucault, Michel (1992) </w:t>
      </w:r>
      <w:r>
        <w:rPr>
          <w:rFonts w:cs="Times New Roman" w:ascii="Times New Roman" w:hAnsi="Times New Roman"/>
          <w:i/>
          <w:sz w:val="24"/>
          <w:szCs w:val="24"/>
        </w:rPr>
        <w:t>Microfísica del poder</w:t>
      </w:r>
      <w:r>
        <w:rPr>
          <w:rFonts w:cs="Times New Roman" w:ascii="Times New Roman" w:hAnsi="Times New Roman"/>
          <w:sz w:val="24"/>
          <w:szCs w:val="24"/>
        </w:rPr>
        <w:t>, La Piqueta, Madrid, capítulo I.</w:t>
      </w:r>
    </w:p>
    <w:p>
      <w:pPr>
        <w:pStyle w:val="Normal"/>
        <w:spacing w:lineRule="auto" w:line="276" w:before="57" w:after="57"/>
        <w:ind w:left="284" w:right="0" w:hanging="284"/>
        <w:jc w:val="both"/>
        <w:rPr>
          <w:rFonts w:ascii="Liberation Serif" w:hAnsi="Liberation Serif" w:cs="Cambria"/>
          <w:b/>
          <w:b/>
          <w:sz w:val="24"/>
          <w:szCs w:val="24"/>
        </w:rPr>
      </w:pPr>
      <w:r>
        <w:rPr>
          <w:rFonts w:cs="Cambria"/>
          <w:b/>
          <w:sz w:val="24"/>
          <w:szCs w:val="24"/>
        </w:rPr>
      </w:r>
    </w:p>
    <w:p>
      <w:pPr>
        <w:pStyle w:val="Normal"/>
        <w:spacing w:lineRule="auto" w:line="276" w:before="57" w:after="57"/>
        <w:ind w:left="284" w:right="0" w:hanging="284"/>
        <w:jc w:val="both"/>
        <w:rPr>
          <w:rFonts w:ascii="Liberation Serif" w:hAnsi="Liberation Serif" w:cs="Cambria"/>
          <w:b/>
          <w:b/>
          <w:sz w:val="24"/>
          <w:szCs w:val="24"/>
        </w:rPr>
      </w:pPr>
      <w:r>
        <w:rPr>
          <w:rFonts w:cs="Cambria"/>
          <w:b/>
          <w:sz w:val="24"/>
          <w:szCs w:val="24"/>
        </w:rPr>
        <w:t>Unidad 5</w:t>
      </w:r>
    </w:p>
    <w:p>
      <w:pPr>
        <w:pStyle w:val="Normal"/>
        <w:spacing w:lineRule="auto" w:line="240" w:before="120" w:after="0"/>
        <w:ind w:left="0" w:right="0" w:hanging="0"/>
        <w:rPr/>
      </w:pPr>
      <w:r>
        <w:rPr>
          <w:rFonts w:cs="Times New Roman" w:ascii="Times New Roman" w:hAnsi="Times New Roman"/>
          <w:sz w:val="24"/>
          <w:szCs w:val="24"/>
        </w:rPr>
        <w:t xml:space="preserve">Habermas, Jürgen (1994) “Observaciones sobre el concepto de acción comunicativa”, en: </w:t>
      </w:r>
      <w:r>
        <w:rPr>
          <w:rFonts w:cs="Times New Roman" w:ascii="Times New Roman" w:hAnsi="Times New Roman"/>
          <w:i/>
          <w:iCs/>
          <w:sz w:val="24"/>
          <w:szCs w:val="24"/>
        </w:rPr>
        <w:t>La teoría de la acción comunicativa: complementos y estudios previos</w:t>
      </w:r>
      <w:r>
        <w:rPr>
          <w:rFonts w:cs="Times New Roman" w:ascii="Times New Roman" w:hAnsi="Times New Roman"/>
          <w:sz w:val="24"/>
          <w:szCs w:val="24"/>
        </w:rPr>
        <w:t xml:space="preserve">, Madrid, Cátedra, págs. 479-507. </w:t>
      </w:r>
    </w:p>
    <w:p>
      <w:pPr>
        <w:pStyle w:val="Normal"/>
        <w:spacing w:lineRule="auto" w:line="240" w:before="120" w:after="0"/>
        <w:ind w:left="0" w:right="0" w:hanging="0"/>
        <w:jc w:val="both"/>
        <w:rPr/>
      </w:pPr>
      <w:r>
        <w:rPr>
          <w:rFonts w:cs="Times New Roman" w:ascii="Times New Roman" w:hAnsi="Times New Roman"/>
          <w:sz w:val="24"/>
          <w:szCs w:val="24"/>
        </w:rPr>
        <w:t xml:space="preserve">Habermas, Jürgen (1987) “Sistema y mundo de la vida”, en: </w:t>
      </w:r>
      <w:r>
        <w:rPr>
          <w:rFonts w:cs="Times New Roman" w:ascii="Times New Roman" w:hAnsi="Times New Roman"/>
          <w:i/>
          <w:iCs/>
          <w:sz w:val="24"/>
          <w:szCs w:val="24"/>
        </w:rPr>
        <w:t>Teoría de la acción comunicativa</w:t>
      </w:r>
      <w:r>
        <w:rPr>
          <w:rFonts w:cs="Times New Roman" w:ascii="Times New Roman" w:hAnsi="Times New Roman"/>
          <w:sz w:val="24"/>
          <w:szCs w:val="24"/>
        </w:rPr>
        <w:t xml:space="preserve">, Madrid, Taurus, págs. 161-280. </w:t>
      </w:r>
    </w:p>
    <w:p>
      <w:pPr>
        <w:pStyle w:val="Normal"/>
        <w:spacing w:lineRule="auto" w:line="276" w:before="57" w:after="57"/>
        <w:ind w:left="284" w:right="0" w:hanging="284"/>
        <w:jc w:val="both"/>
        <w:rPr>
          <w:rFonts w:ascii="Liberation Serif" w:hAnsi="Liberation Serif" w:cs="Cambria"/>
          <w:sz w:val="24"/>
          <w:szCs w:val="24"/>
        </w:rPr>
      </w:pPr>
      <w:r>
        <w:rPr>
          <w:rFonts w:cs="Cambria"/>
          <w:sz w:val="24"/>
          <w:szCs w:val="24"/>
        </w:rPr>
      </w:r>
    </w:p>
    <w:p>
      <w:pPr>
        <w:pStyle w:val="Normal"/>
        <w:spacing w:lineRule="auto" w:line="276" w:before="57" w:after="57"/>
        <w:ind w:left="284" w:right="0" w:hanging="284"/>
        <w:jc w:val="both"/>
        <w:rPr>
          <w:rFonts w:ascii="Liberation Serif" w:hAnsi="Liberation Serif" w:cs="Cambria"/>
          <w:b/>
          <w:b/>
          <w:sz w:val="24"/>
          <w:szCs w:val="24"/>
        </w:rPr>
      </w:pPr>
      <w:r>
        <w:rPr>
          <w:rFonts w:cs="Cambria"/>
          <w:b/>
          <w:sz w:val="24"/>
          <w:szCs w:val="24"/>
        </w:rPr>
        <w:t xml:space="preserve">Unidad </w:t>
      </w:r>
      <w:r>
        <w:rPr>
          <w:rFonts w:cs="Cambria"/>
          <w:b/>
          <w:sz w:val="24"/>
          <w:szCs w:val="24"/>
        </w:rPr>
        <w:t>6</w:t>
      </w:r>
    </w:p>
    <w:p>
      <w:pPr>
        <w:pStyle w:val="Normal"/>
        <w:spacing w:lineRule="auto" w:line="240" w:before="120" w:after="0"/>
        <w:ind w:left="0" w:right="0" w:hanging="0"/>
        <w:jc w:val="both"/>
        <w:rPr/>
      </w:pPr>
      <w:r>
        <w:rPr>
          <w:rFonts w:cs="Times New Roman" w:ascii="Times New Roman" w:hAnsi="Times New Roman"/>
          <w:sz w:val="24"/>
          <w:szCs w:val="24"/>
        </w:rPr>
        <w:t xml:space="preserve">Bourdieu, Pierre y Wacquant, Loïc (1995) “La lógica de los campos” y “Habitus, </w:t>
      </w:r>
      <w:r>
        <w:rPr>
          <w:rFonts w:cs="Times New Roman" w:ascii="Times New Roman" w:hAnsi="Times New Roman"/>
          <w:i/>
          <w:sz w:val="24"/>
          <w:szCs w:val="24"/>
        </w:rPr>
        <w:t>illusio</w:t>
      </w:r>
      <w:r>
        <w:rPr>
          <w:rFonts w:cs="Times New Roman" w:ascii="Times New Roman" w:hAnsi="Times New Roman"/>
          <w:sz w:val="24"/>
          <w:szCs w:val="24"/>
        </w:rPr>
        <w:t xml:space="preserve"> y racionalidad”, en: </w:t>
      </w:r>
      <w:r>
        <w:rPr>
          <w:rFonts w:cs="Times New Roman" w:ascii="Times New Roman" w:hAnsi="Times New Roman"/>
          <w:i/>
          <w:sz w:val="24"/>
          <w:szCs w:val="24"/>
        </w:rPr>
        <w:t>Respuestas. Por una antropología reflexiva</w:t>
      </w:r>
      <w:r>
        <w:rPr>
          <w:rFonts w:cs="Times New Roman" w:ascii="Times New Roman" w:hAnsi="Times New Roman"/>
          <w:sz w:val="24"/>
          <w:szCs w:val="24"/>
        </w:rPr>
        <w:t>, Grijalbo, México, págs. 63-99.</w:t>
      </w:r>
    </w:p>
    <w:p>
      <w:pPr>
        <w:pStyle w:val="Normal"/>
        <w:spacing w:lineRule="auto" w:line="240" w:before="120" w:after="0"/>
        <w:ind w:left="0" w:right="0" w:hanging="0"/>
        <w:jc w:val="both"/>
        <w:rPr/>
      </w:pPr>
      <w:r>
        <w:rPr>
          <w:rFonts w:cs="Times New Roman" w:ascii="Times New Roman" w:hAnsi="Times New Roman"/>
          <w:sz w:val="24"/>
          <w:szCs w:val="24"/>
        </w:rPr>
        <w:t xml:space="preserve">Bourdieu, Pierre (1991) “Estructuras, habtus y prácticas” y “La objetividad de lo subjetivo”, en: </w:t>
      </w:r>
      <w:r>
        <w:rPr>
          <w:rFonts w:cs="Times New Roman" w:ascii="Times New Roman" w:hAnsi="Times New Roman"/>
          <w:i/>
          <w:sz w:val="24"/>
          <w:szCs w:val="24"/>
        </w:rPr>
        <w:t>El sentido práctico</w:t>
      </w:r>
      <w:r>
        <w:rPr>
          <w:rFonts w:cs="Times New Roman" w:ascii="Times New Roman" w:hAnsi="Times New Roman"/>
          <w:sz w:val="24"/>
          <w:szCs w:val="24"/>
        </w:rPr>
        <w:t>, Taurus, Madrid, págs. 91-111 y 227-237.</w:t>
      </w:r>
    </w:p>
    <w:p>
      <w:pPr>
        <w:pStyle w:val="Normal"/>
        <w:spacing w:lineRule="auto" w:line="240" w:before="120" w:after="0"/>
        <w:ind w:left="0" w:right="0" w:hanging="0"/>
        <w:jc w:val="both"/>
        <w:rPr/>
      </w:pPr>
      <w:r>
        <w:rPr>
          <w:rFonts w:cs="Times New Roman" w:ascii="Times New Roman" w:hAnsi="Times New Roman"/>
          <w:sz w:val="24"/>
          <w:szCs w:val="24"/>
        </w:rPr>
        <w:t xml:space="preserve">Bourdieu, Pierre (1990) “Espacio social y génesis de las clases”, en: </w:t>
      </w:r>
      <w:r>
        <w:rPr>
          <w:rFonts w:cs="Times New Roman" w:ascii="Times New Roman" w:hAnsi="Times New Roman"/>
          <w:i/>
          <w:sz w:val="24"/>
          <w:szCs w:val="24"/>
        </w:rPr>
        <w:t>Sociología y Cultura</w:t>
      </w:r>
      <w:r>
        <w:rPr>
          <w:rFonts w:cs="Times New Roman" w:ascii="Times New Roman" w:hAnsi="Times New Roman"/>
          <w:sz w:val="24"/>
          <w:szCs w:val="24"/>
        </w:rPr>
        <w:t>, Grijalbo, México, págs. 281-309.</w:t>
      </w:r>
    </w:p>
    <w:p>
      <w:pPr>
        <w:pStyle w:val="Normal"/>
        <w:spacing w:lineRule="auto" w:line="240" w:before="120" w:after="0"/>
        <w:ind w:left="0" w:right="0" w:hanging="0"/>
        <w:jc w:val="both"/>
        <w:rPr/>
      </w:pPr>
      <w:r>
        <w:rPr>
          <w:rFonts w:cs="Times New Roman" w:ascii="Times New Roman" w:hAnsi="Times New Roman"/>
          <w:sz w:val="24"/>
          <w:szCs w:val="24"/>
        </w:rPr>
        <w:t xml:space="preserve">Bourdieu, Pierre (1989) “Prólogo: Estructuras sociales y estructuras mentales”, en: </w:t>
      </w:r>
      <w:r>
        <w:rPr>
          <w:rFonts w:cs="Times New Roman" w:ascii="Times New Roman" w:hAnsi="Times New Roman"/>
          <w:i/>
          <w:sz w:val="24"/>
          <w:szCs w:val="24"/>
        </w:rPr>
        <w:t>La noblesse d’Etat</w:t>
      </w:r>
      <w:r>
        <w:rPr>
          <w:rFonts w:cs="Times New Roman" w:ascii="Times New Roman" w:hAnsi="Times New Roman"/>
          <w:sz w:val="24"/>
          <w:szCs w:val="24"/>
        </w:rPr>
        <w:t>, Minuit, París, págs. 7-15. Traducción por Christian Gebauer.</w:t>
      </w:r>
    </w:p>
    <w:p>
      <w:pPr>
        <w:pStyle w:val="Normal"/>
        <w:spacing w:lineRule="auto" w:line="240" w:before="120" w:after="0"/>
        <w:ind w:left="0" w:right="0" w:hanging="0"/>
        <w:rPr/>
      </w:pPr>
      <w:r>
        <w:rPr>
          <w:rFonts w:cs="Times New Roman" w:ascii="Times New Roman" w:hAnsi="Times New Roman"/>
          <w:sz w:val="24"/>
          <w:szCs w:val="24"/>
        </w:rPr>
        <w:t xml:space="preserve">Bourdieu, Pierre (1988) “Espacio social y poder simbólico”, en: </w:t>
      </w:r>
      <w:r>
        <w:rPr>
          <w:rFonts w:cs="Times New Roman" w:ascii="Times New Roman" w:hAnsi="Times New Roman"/>
          <w:i/>
          <w:sz w:val="24"/>
          <w:szCs w:val="24"/>
        </w:rPr>
        <w:t>Cosas Dichas</w:t>
      </w:r>
      <w:r>
        <w:rPr>
          <w:rFonts w:cs="Times New Roman" w:ascii="Times New Roman" w:hAnsi="Times New Roman"/>
          <w:sz w:val="24"/>
          <w:szCs w:val="24"/>
        </w:rPr>
        <w:t>, Gedisa, Buenos Aires, págs. 127-142.</w:t>
      </w:r>
    </w:p>
    <w:p>
      <w:pPr>
        <w:pStyle w:val="Normal"/>
        <w:numPr>
          <w:ilvl w:val="0"/>
          <w:numId w:val="0"/>
        </w:numPr>
        <w:spacing w:lineRule="auto" w:line="240" w:before="120" w:after="0"/>
        <w:ind w:left="1143"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r>
    </w:p>
    <w:p>
      <w:pPr>
        <w:pStyle w:val="Normal"/>
        <w:numPr>
          <w:ilvl w:val="0"/>
          <w:numId w:val="1"/>
        </w:numPr>
        <w:spacing w:lineRule="auto" w:line="276" w:before="57" w:after="57"/>
        <w:jc w:val="both"/>
        <w:rPr>
          <w:rFonts w:ascii="Liberation Serif" w:hAnsi="Liberation Serif" w:cs="Cambria"/>
          <w:b/>
          <w:b/>
          <w:sz w:val="24"/>
          <w:szCs w:val="24"/>
        </w:rPr>
      </w:pPr>
      <w:r>
        <w:rPr>
          <w:rFonts w:cs="Cambria"/>
          <w:b/>
          <w:sz w:val="24"/>
          <w:szCs w:val="24"/>
        </w:rPr>
        <w:t>Metodología de trabajo</w:t>
      </w:r>
    </w:p>
    <w:p>
      <w:pPr>
        <w:pStyle w:val="Normal"/>
        <w:spacing w:lineRule="auto" w:line="276" w:before="57" w:after="57"/>
        <w:ind w:left="0" w:right="0" w:firstLine="36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firstLine="360"/>
        <w:jc w:val="both"/>
        <w:rPr>
          <w:rFonts w:ascii="Liberation Serif" w:hAnsi="Liberation Serif" w:cs="Cambria"/>
          <w:sz w:val="24"/>
          <w:szCs w:val="24"/>
        </w:rPr>
      </w:pPr>
      <w:r>
        <w:rPr>
          <w:rFonts w:cs="Cambria"/>
          <w:sz w:val="24"/>
          <w:szCs w:val="24"/>
        </w:rPr>
        <w:t>La metodología del curso tendrá dos modalidades:</w:t>
      </w:r>
    </w:p>
    <w:p>
      <w:pPr>
        <w:pStyle w:val="Normal"/>
        <w:numPr>
          <w:ilvl w:val="0"/>
          <w:numId w:val="7"/>
        </w:numPr>
        <w:spacing w:lineRule="auto" w:line="276" w:before="57" w:after="57"/>
        <w:ind w:left="426" w:right="0" w:hanging="360"/>
        <w:jc w:val="both"/>
        <w:rPr/>
      </w:pPr>
      <w:r>
        <w:rPr>
          <w:rFonts w:cs="Cambria"/>
          <w:sz w:val="24"/>
          <w:szCs w:val="24"/>
        </w:rPr>
        <w:t xml:space="preserve">Teórica: Exposiciones de la docente en diálogo con los estudiantes, versará sobre el modo de abordaje de las condiciones objetivas, el sujeto y el vínculo entre ambos en cada teoría-. Se hará uso de citas textuales del autor, cuadros sinópticos y ejemplos de actualidad. Se fomenta la participación de los estudiantes durante las clases teóricas. Para ello, </w:t>
      </w:r>
      <w:r>
        <w:rPr>
          <w:rFonts w:cs="Cambria"/>
          <w:sz w:val="24"/>
          <w:szCs w:val="24"/>
        </w:rPr>
        <w:t>se recomienda</w:t>
      </w:r>
      <w:r>
        <w:rPr>
          <w:rFonts w:cs="Cambria"/>
          <w:sz w:val="24"/>
          <w:szCs w:val="24"/>
          <w:u w:val="none"/>
        </w:rPr>
        <w:t xml:space="preserve"> la lectura previa de la bibliografía correspondiente a cada unidad.</w:t>
      </w:r>
    </w:p>
    <w:p>
      <w:pPr>
        <w:pStyle w:val="Normal"/>
        <w:numPr>
          <w:ilvl w:val="0"/>
          <w:numId w:val="7"/>
        </w:numPr>
        <w:spacing w:lineRule="auto" w:line="276" w:before="57" w:after="57"/>
        <w:ind w:left="426" w:right="0" w:hanging="360"/>
        <w:jc w:val="both"/>
        <w:rPr/>
      </w:pPr>
      <w:r>
        <w:rPr>
          <w:rFonts w:cs="Cambria"/>
          <w:sz w:val="24"/>
          <w:szCs w:val="24"/>
        </w:rPr>
        <w:t xml:space="preserve">Práctica: Trabajos prácticos grupales sobre las consecuencias de cada teoría </w:t>
      </w:r>
      <w:r>
        <w:rPr>
          <w:rFonts w:cs="Cambria"/>
          <w:sz w:val="24"/>
          <w:szCs w:val="24"/>
        </w:rPr>
        <w:t>para pensar políticas sociales y derechos humanos</w:t>
      </w:r>
      <w:r>
        <w:rPr>
          <w:rFonts w:cs="Cambria"/>
          <w:sz w:val="24"/>
          <w:szCs w:val="24"/>
        </w:rPr>
        <w:t xml:space="preserve">. Los trabajos prácticos constituyen otra instancia de aprendizaje. No se requiere su aprobación para regularizar el curso. </w:t>
      </w:r>
    </w:p>
    <w:p>
      <w:pPr>
        <w:pStyle w:val="Normal"/>
        <w:numPr>
          <w:ilvl w:val="0"/>
          <w:numId w:val="7"/>
        </w:numPr>
        <w:spacing w:lineRule="auto" w:line="276" w:before="57" w:after="57"/>
        <w:ind w:left="426" w:right="0" w:hanging="360"/>
        <w:jc w:val="both"/>
        <w:rPr>
          <w:rFonts w:ascii="Liberation Serif" w:hAnsi="Liberation Serif" w:cs="Cambria"/>
          <w:sz w:val="24"/>
          <w:szCs w:val="24"/>
        </w:rPr>
      </w:pPr>
      <w:r>
        <w:rPr>
          <w:rFonts w:cs="Cambria"/>
          <w:sz w:val="24"/>
          <w:szCs w:val="24"/>
        </w:rPr>
        <w:t>Además, se provee bibliografía complementaria, y materiales escritos y audiovisuales de ejemplificación y de aplicación de cada teoría.</w:t>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r>
    </w:p>
    <w:p>
      <w:pPr>
        <w:pStyle w:val="Normal"/>
        <w:numPr>
          <w:ilvl w:val="0"/>
          <w:numId w:val="1"/>
        </w:numPr>
        <w:spacing w:lineRule="auto" w:line="276" w:before="57" w:after="57"/>
        <w:jc w:val="both"/>
        <w:rPr>
          <w:rFonts w:ascii="Liberation Serif" w:hAnsi="Liberation Serif" w:cs="Cambria"/>
          <w:b/>
          <w:b/>
          <w:sz w:val="24"/>
          <w:szCs w:val="24"/>
        </w:rPr>
      </w:pPr>
      <w:r>
        <w:rPr>
          <w:rFonts w:cs="Cambria"/>
          <w:b/>
          <w:sz w:val="24"/>
          <w:szCs w:val="24"/>
        </w:rPr>
        <w:t>Modalidad de Evaluación</w:t>
      </w:r>
    </w:p>
    <w:p>
      <w:pPr>
        <w:pStyle w:val="Normal"/>
        <w:spacing w:lineRule="auto" w:line="276" w:before="57" w:after="57"/>
        <w:ind w:left="0" w:right="0" w:firstLine="36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cs="Cambria"/>
          <w:sz w:val="24"/>
          <w:szCs w:val="24"/>
        </w:rPr>
      </w:pPr>
      <w:r>
        <w:rPr>
          <w:rFonts w:cs="Cambria"/>
          <w:sz w:val="24"/>
          <w:szCs w:val="24"/>
        </w:rPr>
        <w:t>El trabajo monográfico final versará sobre un problema teórico o práctico construido desde uno de los autores a elección de cada estudiante. Se sugiere que el tema a trabajar esté relacionado con su tema o área de interés para hacer la tesis de Maestría.</w:t>
      </w:r>
    </w:p>
    <w:p>
      <w:pPr>
        <w:pStyle w:val="ListParagraph"/>
        <w:spacing w:lineRule="auto" w:line="276" w:before="57" w:after="57"/>
        <w:ind w:left="0" w:right="0" w:hanging="0"/>
        <w:jc w:val="both"/>
        <w:rPr>
          <w:rFonts w:ascii="Liberation Serif" w:hAnsi="Liberation Serif" w:cs="Cambria"/>
          <w:sz w:val="24"/>
          <w:szCs w:val="24"/>
        </w:rPr>
      </w:pPr>
      <w:r>
        <w:rPr>
          <w:rFonts w:cs="Cambria"/>
          <w:sz w:val="24"/>
          <w:szCs w:val="24"/>
        </w:rPr>
        <w:t xml:space="preserve">El trabajo debe ser realizado de modo individual. </w:t>
      </w:r>
    </w:p>
    <w:p>
      <w:pPr>
        <w:pStyle w:val="ListParagraph"/>
        <w:spacing w:lineRule="auto" w:line="276" w:before="57" w:after="57"/>
        <w:ind w:left="0" w:right="0" w:hanging="0"/>
        <w:jc w:val="both"/>
        <w:rPr>
          <w:rFonts w:ascii="Liberation Serif" w:hAnsi="Liberation Serif" w:cs="Cambria"/>
          <w:sz w:val="24"/>
          <w:szCs w:val="24"/>
        </w:rPr>
      </w:pPr>
      <w:r>
        <w:rPr>
          <w:rFonts w:cs="Cambria"/>
          <w:sz w:val="24"/>
          <w:szCs w:val="24"/>
        </w:rPr>
        <w:t>Se presenta en las fechas establecidas por la dirección de las Maestrías para tal fin.</w:t>
      </w:r>
    </w:p>
    <w:p>
      <w:pPr>
        <w:pStyle w:val="ListParagraph"/>
        <w:spacing w:lineRule="auto" w:line="276" w:before="57" w:after="57"/>
        <w:ind w:left="0" w:right="0" w:hanging="0"/>
        <w:jc w:val="both"/>
        <w:rPr>
          <w:rFonts w:ascii="Liberation Serif" w:hAnsi="Liberation Serif" w:cs="Cambria"/>
          <w:sz w:val="24"/>
          <w:szCs w:val="24"/>
        </w:rPr>
      </w:pPr>
      <w:r>
        <w:rPr>
          <w:rFonts w:cs="Cambria"/>
          <w:sz w:val="24"/>
          <w:szCs w:val="24"/>
        </w:rPr>
        <w:t>Se proponen las siguientes consignas generales para su realización:</w:t>
      </w:r>
    </w:p>
    <w:p>
      <w:pPr>
        <w:pStyle w:val="ListParagraph"/>
        <w:numPr>
          <w:ilvl w:val="0"/>
          <w:numId w:val="8"/>
        </w:numPr>
        <w:spacing w:lineRule="auto" w:line="276" w:before="57" w:after="57"/>
        <w:ind w:left="284" w:right="0" w:hanging="284"/>
        <w:jc w:val="both"/>
        <w:rPr>
          <w:rFonts w:ascii="Liberation Serif" w:hAnsi="Liberation Serif" w:cs="Cambria"/>
          <w:sz w:val="24"/>
          <w:szCs w:val="24"/>
        </w:rPr>
      </w:pPr>
      <w:r>
        <w:rPr>
          <w:rFonts w:cs="Cambria"/>
          <w:sz w:val="24"/>
          <w:szCs w:val="24"/>
        </w:rPr>
        <w:t>Plantear un Tema teórico o práctico de investigación (enunciado en modo afirmativo).</w:t>
      </w:r>
    </w:p>
    <w:p>
      <w:pPr>
        <w:pStyle w:val="ListParagraph"/>
        <w:numPr>
          <w:ilvl w:val="0"/>
          <w:numId w:val="8"/>
        </w:numPr>
        <w:spacing w:lineRule="auto" w:line="276" w:before="57" w:after="57"/>
        <w:ind w:left="284" w:right="0" w:hanging="284"/>
        <w:jc w:val="both"/>
        <w:rPr>
          <w:rFonts w:ascii="Liberation Serif" w:hAnsi="Liberation Serif" w:cs="Cambria"/>
          <w:sz w:val="24"/>
          <w:szCs w:val="24"/>
        </w:rPr>
      </w:pPr>
      <w:r>
        <w:rPr>
          <w:rFonts w:cs="Cambria"/>
          <w:sz w:val="24"/>
          <w:szCs w:val="24"/>
        </w:rPr>
        <w:t>Enunciar la lógica general y los conceptos centrales del Enfoque Teórico-Metodológico propuesto a partir del cual se construirá el interrogante-problema, la hipótesis de investigación, los objetivos y la investigación misma.</w:t>
      </w:r>
    </w:p>
    <w:p>
      <w:pPr>
        <w:pStyle w:val="ListParagraph"/>
        <w:numPr>
          <w:ilvl w:val="0"/>
          <w:numId w:val="8"/>
        </w:numPr>
        <w:spacing w:lineRule="auto" w:line="276" w:before="57" w:after="57"/>
        <w:ind w:left="284" w:right="0" w:hanging="284"/>
        <w:jc w:val="both"/>
        <w:rPr>
          <w:rFonts w:ascii="Liberation Serif" w:hAnsi="Liberation Serif" w:cs="Cambria"/>
          <w:sz w:val="24"/>
          <w:szCs w:val="24"/>
        </w:rPr>
      </w:pPr>
      <w:r>
        <w:rPr>
          <w:rFonts w:cs="Cambria"/>
          <w:sz w:val="24"/>
          <w:szCs w:val="24"/>
        </w:rPr>
        <w:t>Si se abordara este tema desde la perspectiva teórica de ese autor, ¿qué preguntas formularía? Luego de formular los interrogantes, construir el Problema de investigación desde el enfoque elegido (enunciado en modo interrogativo).</w:t>
      </w:r>
    </w:p>
    <w:p>
      <w:pPr>
        <w:pStyle w:val="ListParagraph"/>
        <w:numPr>
          <w:ilvl w:val="0"/>
          <w:numId w:val="8"/>
        </w:numPr>
        <w:spacing w:lineRule="auto" w:line="276" w:before="57" w:after="57"/>
        <w:ind w:left="284" w:right="0" w:hanging="284"/>
        <w:jc w:val="both"/>
        <w:rPr>
          <w:rFonts w:ascii="Liberation Serif" w:hAnsi="Liberation Serif" w:cs="Cambria"/>
          <w:sz w:val="24"/>
          <w:szCs w:val="24"/>
        </w:rPr>
      </w:pPr>
      <w:r>
        <w:rPr>
          <w:rFonts w:cs="Cambria"/>
          <w:sz w:val="24"/>
          <w:szCs w:val="24"/>
        </w:rPr>
        <w:t>De acuerdo con los interrogantes planteados, formular los Objetivos de la investigación que nos permitirá dar respuesta a ese problema (en modo infinitivo).</w:t>
      </w:r>
    </w:p>
    <w:p>
      <w:pPr>
        <w:pStyle w:val="ListParagraph"/>
        <w:numPr>
          <w:ilvl w:val="0"/>
          <w:numId w:val="8"/>
        </w:numPr>
        <w:spacing w:lineRule="auto" w:line="276" w:before="57" w:after="57"/>
        <w:ind w:left="284" w:right="0" w:hanging="284"/>
        <w:jc w:val="both"/>
        <w:rPr>
          <w:rFonts w:ascii="Liberation Serif" w:hAnsi="Liberation Serif" w:cs="Cambria"/>
          <w:sz w:val="24"/>
          <w:szCs w:val="24"/>
        </w:rPr>
      </w:pPr>
      <w:r>
        <w:rPr>
          <w:rFonts w:cs="Cambria"/>
          <w:sz w:val="24"/>
          <w:szCs w:val="24"/>
        </w:rPr>
        <w:t xml:space="preserve">¿Qué probables respuestas a este problema se plantearían desde el enfoque propuesto a los interrogantes planteados? Exponer los supuestos que darían respuesta a los interrogantes planteados desde este enfoque. Luego, formular la Hipótesis de investigación (en modo afirmativo). En caso de contar con datos empíricos, pueden ser utilizados para contribuir a sustentar las afirmaciones realizadas. </w:t>
      </w:r>
    </w:p>
    <w:p>
      <w:pPr>
        <w:pStyle w:val="ListParagraph"/>
        <w:numPr>
          <w:ilvl w:val="0"/>
          <w:numId w:val="8"/>
        </w:numPr>
        <w:spacing w:lineRule="auto" w:line="276" w:before="57" w:after="57"/>
        <w:ind w:left="284" w:right="0" w:hanging="284"/>
        <w:jc w:val="both"/>
        <w:rPr>
          <w:rFonts w:ascii="Liberation Serif" w:hAnsi="Liberation Serif" w:cs="Cambria"/>
          <w:sz w:val="24"/>
          <w:szCs w:val="24"/>
        </w:rPr>
      </w:pPr>
      <w:r>
        <w:rPr>
          <w:rFonts w:cs="Cambria"/>
          <w:sz w:val="24"/>
          <w:szCs w:val="24"/>
        </w:rPr>
        <w:t>Formular una valoración crítica de los aportes y debilidades de la perspectiva escogida para abordar el tema propuesto.</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numPr>
          <w:ilvl w:val="0"/>
          <w:numId w:val="1"/>
        </w:numPr>
        <w:spacing w:lineRule="auto" w:line="276" w:before="57" w:after="57"/>
        <w:jc w:val="both"/>
        <w:rPr>
          <w:rFonts w:ascii="Liberation Serif" w:hAnsi="Liberation Serif" w:cs="Cambria"/>
          <w:b/>
          <w:b/>
          <w:sz w:val="24"/>
          <w:szCs w:val="24"/>
        </w:rPr>
      </w:pPr>
      <w:r>
        <w:rPr>
          <w:rFonts w:cs="Cambria"/>
          <w:b/>
          <w:sz w:val="24"/>
          <w:szCs w:val="24"/>
        </w:rPr>
        <w:t>Criterios de Evaluación</w:t>
      </w:r>
    </w:p>
    <w:p>
      <w:pPr>
        <w:pStyle w:val="Normal"/>
        <w:spacing w:lineRule="auto" w:line="276" w:before="57" w:after="57"/>
        <w:ind w:left="1080" w:right="0" w:hanging="0"/>
        <w:jc w:val="both"/>
        <w:rPr>
          <w:rFonts w:ascii="Liberation Serif" w:hAnsi="Liberation Serif" w:cs="Cambria"/>
          <w:b/>
          <w:b/>
          <w:sz w:val="24"/>
          <w:szCs w:val="24"/>
        </w:rPr>
      </w:pPr>
      <w:r>
        <w:rPr>
          <w:rFonts w:cs="Cambria"/>
          <w:b/>
          <w:sz w:val="24"/>
          <w:szCs w:val="24"/>
        </w:rPr>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Resolución completa del trabajo según la guía.</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Presentación en tiempo y forma.</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Correcta redacción, ortografía y tipeo.</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Originalidad del texto presentado.</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Claridad expositiva.</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Precisión conceptual.</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 xml:space="preserve">Capacidad de síntesis. </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Riqueza de contenidos.</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Justificación y fundamentación de las afirmaciones realizadas.</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Pertinencia de la información recabada sobre el caso de análisis.</w:t>
      </w:r>
    </w:p>
    <w:p>
      <w:pPr>
        <w:pStyle w:val="Normal"/>
        <w:numPr>
          <w:ilvl w:val="0"/>
          <w:numId w:val="9"/>
        </w:numPr>
        <w:tabs>
          <w:tab w:val="clear" w:pos="709"/>
          <w:tab w:val="left" w:pos="720" w:leader="none"/>
        </w:tabs>
        <w:spacing w:lineRule="auto" w:line="276" w:before="57" w:after="57"/>
        <w:ind w:left="360" w:right="0" w:hanging="360"/>
        <w:jc w:val="both"/>
        <w:rPr>
          <w:rFonts w:ascii="Liberation Serif" w:hAnsi="Liberation Serif" w:cs="Cambria"/>
          <w:sz w:val="24"/>
          <w:szCs w:val="24"/>
        </w:rPr>
      </w:pPr>
      <w:r>
        <w:rPr>
          <w:rFonts w:cs="Cambria"/>
          <w:sz w:val="24"/>
          <w:szCs w:val="24"/>
        </w:rPr>
        <w:t>Adecuación, precisión y profundidad del análisis realizado sobre estos casos.</w:t>
      </w:r>
    </w:p>
    <w:p>
      <w:pPr>
        <w:pStyle w:val="Normal"/>
        <w:spacing w:lineRule="auto" w:line="276" w:before="57" w:after="57"/>
        <w:ind w:left="0" w:right="0" w:hanging="0"/>
        <w:jc w:val="both"/>
        <w:rPr>
          <w:rFonts w:ascii="Liberation Serif" w:hAnsi="Liberation Serif" w:cs="Cambria"/>
          <w:b/>
          <w:b/>
          <w:sz w:val="24"/>
          <w:szCs w:val="24"/>
        </w:rPr>
      </w:pPr>
      <w:r>
        <w:rPr>
          <w:rFonts w:cs="Cambria"/>
          <w:b/>
          <w:sz w:val="24"/>
          <w:szCs w:val="24"/>
        </w:rPr>
      </w:r>
    </w:p>
    <w:p>
      <w:pPr>
        <w:pStyle w:val="Normal"/>
        <w:spacing w:lineRule="auto" w:line="276" w:before="57" w:after="57"/>
        <w:ind w:left="0" w:right="0" w:hanging="0"/>
        <w:jc w:val="both"/>
        <w:rPr>
          <w:rFonts w:ascii="Liberation Serif" w:hAnsi="Liberation Serif"/>
          <w:sz w:val="24"/>
          <w:szCs w:val="24"/>
        </w:rPr>
      </w:pPr>
      <w:r>
        <w:rPr>
          <w:sz w:val="24"/>
          <w:szCs w:val="24"/>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Narrow">
    <w:charset w:val="00"/>
    <w:family w:val="swiss"/>
    <w:pitch w:val="variable"/>
  </w:font>
  <w:font w:name="Courier New">
    <w:charset w:val="00"/>
    <w:family w:val="modern"/>
    <w:pitch w:val="default"/>
  </w:font>
  <w:font w:name="Wingdings">
    <w:charset w:val="02"/>
    <w:family w:val="auto"/>
    <w:pitch w:val="variable"/>
  </w:font>
  <w:font w:name="OpenSymbol">
    <w:altName w:val="Arial Unicode MS"/>
    <w:charset w:val="02"/>
    <w:family w:val="auto"/>
    <w:pitch w:val="default"/>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spacing w:lineRule="auto" w:line="240"/>
        <w:ind w:left="0" w:right="0" w:hanging="0"/>
        <w:jc w:val="both"/>
        <w:rPr/>
      </w:pPr>
      <w:r>
        <w:rPr>
          <w:rStyle w:val="Caracteresdenotaalpie"/>
        </w:rPr>
        <w:footnoteRef/>
      </w:r>
      <w:r>
        <w:rPr>
          <w:rFonts w:cs="Cambria" w:ascii="Cambria" w:hAnsi="Cambria"/>
        </w:rPr>
        <w:t xml:space="preserve"> </w:t>
      </w:r>
      <w:r>
        <w:rPr>
          <w:rFonts w:cs="Cambria"/>
        </w:rPr>
        <w:t xml:space="preserve">El Dr. Costa estuvo a cargo de </w:t>
      </w:r>
      <w:r>
        <w:rPr>
          <w:rFonts w:cs="Cambria"/>
          <w:sz w:val="20"/>
          <w:szCs w:val="20"/>
        </w:rPr>
        <w:t>Teorías Sociológicas I y Teorías Sociológicas II en esta Maestría</w:t>
      </w:r>
      <w:r>
        <w:rPr>
          <w:rFonts w:cs="Cambria"/>
        </w:rPr>
        <w:t xml:space="preserve"> hasta 2012. Este Programa es deudor del que él diseñó, en su hipótesis de trabajo, objetivos, temas y bibliografía específica de los autores estudiados. Se consideraron, asimismo, aportes del programa propuesto por el Dr. Javier Cristiano, quien estuvo a cargo de Teorías Sociológicas I en 2013. Sin embargo, el orden y la selección de objetivos, temas y bibliografía de los autores, así como la </w:t>
      </w:r>
      <w:r>
        <w:rPr>
          <w:rFonts w:cs="Cambria"/>
          <w:sz w:val="20"/>
          <w:szCs w:val="20"/>
        </w:rPr>
        <w:t>modalidad</w:t>
      </w:r>
      <w:r>
        <w:rPr>
          <w:rFonts w:cs="Cambria"/>
        </w:rPr>
        <w:t xml:space="preserve"> de trabajo, metodología de evaluación y selección de bibliografía, son responsabilidad de esta docente, </w:t>
      </w:r>
      <w:r>
        <w:rPr>
          <w:rFonts w:cs="Cambria"/>
        </w:rPr>
        <w:t>y responden al Plan de Estudios vigente</w:t>
      </w:r>
      <w:r>
        <w:rPr>
          <w:rFonts w:cs="Cambria"/>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rPr/>
    </w:lvl>
  </w:abstractNum>
  <w:abstractNum w:abstractNumId="2">
    <w:lvl w:ilvl="0">
      <w:start w:val="1"/>
      <w:numFmt w:val="decimal"/>
      <w:lvlText w:val="%1."/>
      <w:lvlJc w:val="left"/>
      <w:pPr>
        <w:ind w:left="720" w:hanging="360"/>
      </w:pPr>
      <w:rPr>
        <w:sz w:val="24"/>
        <w:szCs w:val="24"/>
        <w:rFonts w:ascii="Cambria" w:hAnsi="Cambria" w:cs="Cambria"/>
      </w:rPr>
    </w:lvl>
  </w:abstractNum>
  <w:abstractNum w:abstractNumId="3">
    <w:lvl w:ilvl="0">
      <w:start w:val="1"/>
      <w:numFmt w:val="decimal"/>
      <w:lvlText w:val="%1."/>
      <w:lvlJc w:val="left"/>
      <w:pPr>
        <w:ind w:left="1077" w:hanging="360"/>
      </w:pPr>
      <w:rPr/>
    </w:lvl>
  </w:abstractNum>
  <w:abstractNum w:abstractNumId="4">
    <w:lvl w:ilvl="0">
      <w:start w:val="1"/>
      <w:numFmt w:val="decimal"/>
      <w:lvlText w:val="%1."/>
      <w:lvlJc w:val="left"/>
      <w:pPr>
        <w:ind w:left="720" w:hanging="360"/>
      </w:pPr>
      <w:rPr>
        <w:sz w:val="24"/>
        <w:szCs w:val="24"/>
        <w:rFonts w:ascii="Cambria" w:hAnsi="Cambria" w:cs="Cambria"/>
      </w:rPr>
    </w:lvl>
  </w:abstractNum>
  <w:abstractNum w:abstractNumId="5">
    <w:lvl w:ilvl="0">
      <w:start w:val="1"/>
      <w:numFmt w:val="decimal"/>
      <w:lvlText w:val="%1."/>
      <w:lvlJc w:val="left"/>
      <w:pPr>
        <w:ind w:left="720" w:hanging="360"/>
      </w:pPr>
      <w:rPr>
        <w:sz w:val="24"/>
        <w:szCs w:val="24"/>
        <w:rFonts w:ascii="Cambria" w:hAnsi="Cambria" w:cs="Cambria"/>
      </w:rPr>
    </w:lvl>
  </w:abstractNum>
  <w:abstractNum w:abstractNumId="6">
    <w:lvl w:ilvl="0">
      <w:start w:val="1"/>
      <w:numFmt w:val="bullet"/>
      <w:lvlText w:val=""/>
      <w:lvlJc w:val="left"/>
      <w:pPr>
        <w:ind w:left="1077" w:hanging="360"/>
      </w:pPr>
      <w:rPr>
        <w:rFonts w:ascii="Symbol" w:hAnsi="Symbol" w:cs="Symbol" w:hint="default"/>
        <w:sz w:val="24"/>
        <w:szCs w:val="24"/>
        <w:rFonts w:cs="Symbol"/>
      </w:rPr>
    </w:lvl>
  </w:abstractNum>
  <w:abstractNum w:abstractNumId="7">
    <w:lvl w:ilvl="0">
      <w:start w:val="1"/>
      <w:numFmt w:val="bullet"/>
      <w:lvlText w:val=""/>
      <w:lvlJc w:val="left"/>
      <w:pPr>
        <w:ind w:left="1077" w:hanging="360"/>
      </w:pPr>
      <w:rPr>
        <w:rFonts w:ascii="Symbol" w:hAnsi="Symbol" w:cs="Symbol" w:hint="default"/>
        <w:sz w:val="24"/>
        <w:szCs w:val="24"/>
        <w:rFonts w:cs="Symbol"/>
      </w:rPr>
    </w:lvl>
  </w:abstractNum>
  <w:abstractNum w:abstractNumId="8">
    <w:lvl w:ilvl="0">
      <w:start w:val="1"/>
      <w:numFmt w:val="decimal"/>
      <w:lvlText w:val="%1."/>
      <w:lvlJc w:val="left"/>
      <w:pPr>
        <w:ind w:left="1077" w:hanging="360"/>
      </w:pPr>
      <w:rPr>
        <w:sz w:val="24"/>
        <w:szCs w:val="24"/>
        <w:rFonts w:ascii="Cambria" w:hAnsi="Cambria" w:cs="Cambria"/>
      </w:rPr>
    </w:lvl>
  </w:abstractNum>
  <w:abstractNum w:abstractNumId="9">
    <w:lvl w:ilvl="0">
      <w:start w:val="1"/>
      <w:numFmt w:val="bullet"/>
      <w:lvlText w:val=""/>
      <w:lvlJc w:val="left"/>
      <w:pPr>
        <w:tabs>
          <w:tab w:val="num" w:pos="720"/>
        </w:tabs>
        <w:ind w:left="720" w:hanging="360"/>
      </w:pPr>
      <w:rPr>
        <w:rFonts w:ascii="Wingdings" w:hAnsi="Wingdings" w:cs="Wingdings" w:hint="default"/>
        <w:sz w:val="24"/>
        <w:szCs w:val="24"/>
        <w:rFonts w:cs="Wingdings"/>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5"/>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A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s-AR" w:eastAsia="zh-CN" w:bidi="hi-IN"/>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Caracteresdenotaalpie">
    <w:name w:val="Caracteres de nota al pie"/>
    <w:basedOn w:val="DefaultParagraphFont"/>
    <w:qFormat/>
    <w:rPr>
      <w:vertAlign w:val="superscript"/>
    </w:rPr>
  </w:style>
  <w:style w:type="character" w:styleId="WW8Num1z0">
    <w:name w:val="WW8Num1z0"/>
    <w:qFormat/>
    <w:rPr>
      <w:rFonts w:ascii="Cambria" w:hAnsi="Cambria" w:cs="Cambria"/>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19z0">
    <w:name w:val="WW8Num19z0"/>
    <w:qFormat/>
    <w:rPr/>
  </w:style>
  <w:style w:type="character" w:styleId="WW8Num19z1">
    <w:name w:val="WW8Num19z1"/>
    <w:qFormat/>
    <w:rPr>
      <w:rFonts w:ascii="Arial Narrow" w:hAnsi="Arial Narrow" w:eastAsia="Calibri" w:cs="Times New Roman"/>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8z0">
    <w:name w:val="WW8Num8z0"/>
    <w:qFormat/>
    <w:rPr>
      <w:rFonts w:ascii="Cambria" w:hAnsi="Cambria" w:cs="Cambria"/>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2z0">
    <w:name w:val="WW8Num12z0"/>
    <w:qFormat/>
    <w:rPr>
      <w:rFonts w:ascii="Cambria" w:hAnsi="Cambria" w:cs="Cambria"/>
      <w:sz w:val="24"/>
      <w:szCs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1z0">
    <w:name w:val="WW8Num11z0"/>
    <w:qFormat/>
    <w:rPr>
      <w:rFonts w:ascii="Symbol" w:hAnsi="Symbol" w:cs="Symbol"/>
      <w:sz w:val="24"/>
      <w:szCs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EnlacedeInternet">
    <w:name w:val="Enlace de Internet"/>
    <w:basedOn w:val="DefaultParagraphFont"/>
    <w:rPr>
      <w:color w:val="0000FF"/>
      <w:u w:val="single"/>
    </w:rPr>
  </w:style>
  <w:style w:type="character" w:styleId="WW8Num16z0">
    <w:name w:val="WW8Num16z0"/>
    <w:qFormat/>
    <w:rPr>
      <w:rFonts w:ascii="Symbol" w:hAnsi="Symbol" w:cs="Symbol"/>
      <w:sz w:val="24"/>
      <w:szCs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0z0">
    <w:name w:val="WW8Num10z0"/>
    <w:qFormat/>
    <w:rPr>
      <w:rFonts w:ascii="Cambria" w:hAnsi="Cambria" w:cs="Cambria"/>
      <w:sz w:val="24"/>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9z0">
    <w:name w:val="WW8Num9z0"/>
    <w:qFormat/>
    <w:rPr>
      <w:rFonts w:ascii="Wingdings" w:hAnsi="Wingdings" w:cs="Wingdings"/>
      <w:sz w:val="24"/>
      <w:szCs w:val="24"/>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Ancladenotaalpie">
    <w:name w:val="Ancla de nota al pie"/>
    <w:rPr>
      <w:vertAlign w:val="superscript"/>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character" w:styleId="WW8Num7z0">
    <w:name w:val="WW8Num7z0"/>
    <w:qFormat/>
    <w:rPr/>
  </w:style>
  <w:style w:type="character" w:styleId="WW8Num6z0">
    <w:name w:val="WW8Num6z0"/>
    <w:qFormat/>
    <w:rPr>
      <w:rFonts w:ascii="Times New Roman" w:hAnsi="Times New Roman" w:cs="Times New Roman"/>
      <w:sz w:val="24"/>
      <w:szCs w:val="24"/>
      <w:lang w:val="es-ES"/>
    </w:rPr>
  </w:style>
  <w:style w:type="character" w:styleId="WW8Num50z0">
    <w:name w:val="WW8Num50z0"/>
    <w:qFormat/>
    <w:rPr>
      <w:rFonts w:ascii="Times New Roman" w:hAnsi="Times New Roman" w:cs="Times New Roman"/>
      <w:sz w:val="24"/>
      <w:szCs w:val="24"/>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Character20style">
    <w:name w:val="Character_20_styl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taalpie">
    <w:name w:val="Footnote Text"/>
    <w:basedOn w:val="Normal"/>
    <w:pPr>
      <w:suppressLineNumbers/>
      <w:ind w:left="339" w:right="0" w:hanging="339"/>
    </w:pPr>
    <w:rPr>
      <w:sz w:val="20"/>
      <w:szCs w:val="20"/>
    </w:rPr>
  </w:style>
  <w:style w:type="paragraph" w:styleId="ListParagraph">
    <w:name w:val="List Paragraph"/>
    <w:basedOn w:val="Normal"/>
    <w:qFormat/>
    <w:pPr>
      <w:spacing w:before="0" w:after="0"/>
      <w:ind w:left="720" w:right="0" w:hanging="0"/>
      <w:contextualSpacing/>
    </w:pPr>
    <w:rPr/>
  </w:style>
  <w:style w:type="numbering" w:styleId="WW8Num2">
    <w:name w:val="WW8Num2"/>
    <w:qFormat/>
  </w:style>
  <w:style w:type="numbering" w:styleId="WW8Num1">
    <w:name w:val="WW8Num1"/>
    <w:qFormat/>
  </w:style>
  <w:style w:type="numbering" w:styleId="WW8Num19">
    <w:name w:val="WW8Num19"/>
    <w:qFormat/>
  </w:style>
  <w:style w:type="numbering" w:styleId="WW8Num14">
    <w:name w:val="WW8Num14"/>
    <w:qFormat/>
  </w:style>
  <w:style w:type="numbering" w:styleId="WW8Num8">
    <w:name w:val="WW8Num8"/>
    <w:qFormat/>
  </w:style>
  <w:style w:type="numbering" w:styleId="WW8Num12">
    <w:name w:val="WW8Num12"/>
    <w:qFormat/>
  </w:style>
  <w:style w:type="numbering" w:styleId="WW8Num11">
    <w:name w:val="WW8Num11"/>
    <w:qFormat/>
  </w:style>
  <w:style w:type="numbering" w:styleId="WW8Num16">
    <w:name w:val="WW8Num16"/>
    <w:qFormat/>
  </w:style>
  <w:style w:type="numbering" w:styleId="WW8Num10">
    <w:name w:val="WW8Num10"/>
    <w:qFormat/>
  </w:style>
  <w:style w:type="numbering" w:styleId="WW8Num9">
    <w:name w:val="WW8Num9"/>
    <w:qFormat/>
  </w:style>
  <w:style w:type="numbering" w:styleId="WW8Num7">
    <w:name w:val="WW8Num7"/>
    <w:qFormat/>
  </w:style>
  <w:style w:type="numbering" w:styleId="WW8Num6">
    <w:name w:val="WW8Num6"/>
    <w:qFormat/>
  </w:style>
  <w:style w:type="numbering" w:styleId="WW8Num57">
    <w:name w:val="WW8Num57"/>
    <w:qFormat/>
  </w:style>
  <w:style w:type="numbering" w:styleId="WW8Num50">
    <w:name w:val="WW8Num5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4755</TotalTime>
  <Application>LibreOffice/6.2.4.2$Windows_X86_64 LibreOffice_project/2412653d852ce75f65fbfa83fb7e7b669a126d64</Application>
  <Pages>6</Pages>
  <Words>1887</Words>
  <CharactersWithSpaces>12604</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2021-02-25T12:09:21Z</dcterms:created>
  <dc:creator/>
  <dc:description/>
  <dc:language>es-ES</dc:language>
  <cp:lastModifiedBy/>
  <dcterms:modified xsi:type="dcterms:W3CDTF">2021-02-28T20:35:32Z</dcterms:modified>
  <cp:revision>13</cp:revision>
  <dc:subject/>
  <dc:title/>
</cp:coreProperties>
</file>