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B28" w:rsidRDefault="00142ED5">
      <w:pPr>
        <w:shd w:val="clear" w:color="auto" w:fill="FFFFFF"/>
        <w:spacing w:before="300" w:after="160" w:line="240" w:lineRule="auto"/>
        <w:ind w:right="-220"/>
      </w:pPr>
      <w:r>
        <w:t xml:space="preserve">Título del curso, seminario, jornada o conversatorio </w:t>
      </w:r>
    </w:p>
    <w:p w:rsidR="00E77B28" w:rsidRDefault="00142ED5">
      <w:pPr>
        <w:spacing w:before="300" w:after="160" w:line="240" w:lineRule="auto"/>
        <w:ind w:left="720" w:right="-220"/>
        <w:rPr>
          <w:b/>
        </w:rPr>
      </w:pPr>
      <w:r>
        <w:rPr>
          <w:b/>
        </w:rPr>
        <w:t>La intervención social con niñes y jóvenes desde el protago</w:t>
      </w:r>
      <w:r w:rsidR="00D80C76">
        <w:rPr>
          <w:b/>
        </w:rPr>
        <w:t>nismo: aportes para senti-pensar</w:t>
      </w:r>
    </w:p>
    <w:p w:rsidR="00E77B28" w:rsidRDefault="00142ED5">
      <w:pPr>
        <w:numPr>
          <w:ilvl w:val="0"/>
          <w:numId w:val="1"/>
        </w:numPr>
        <w:spacing w:before="300" w:after="160" w:line="240" w:lineRule="auto"/>
        <w:ind w:right="-220"/>
        <w:rPr>
          <w:color w:val="000000"/>
        </w:rPr>
      </w:pPr>
      <w:r>
        <w:t>Equipo docente identificando el rol de cada uno/a (docente responsable, docente dictante, tutor/a, etc)</w:t>
      </w:r>
    </w:p>
    <w:p w:rsidR="00E77B28" w:rsidRDefault="00142ED5">
      <w:pPr>
        <w:spacing w:before="300" w:after="160" w:line="240" w:lineRule="auto"/>
        <w:ind w:right="-220"/>
        <w:rPr>
          <w:i/>
        </w:rPr>
      </w:pPr>
      <w:r>
        <w:rPr>
          <w:b/>
        </w:rPr>
        <w:t xml:space="preserve">Docente/s responsable/s: </w:t>
      </w:r>
      <w:r>
        <w:rPr>
          <w:i/>
        </w:rPr>
        <w:t>(colocar datos por cada docente)</w:t>
      </w:r>
    </w:p>
    <w:p w:rsidR="00E77B28" w:rsidRDefault="00142ED5">
      <w:pPr>
        <w:spacing w:before="240" w:after="240" w:line="240" w:lineRule="auto"/>
        <w:ind w:left="340"/>
        <w:jc w:val="both"/>
        <w:rPr>
          <w:b/>
        </w:rPr>
      </w:pPr>
      <w:r>
        <w:t xml:space="preserve">- Apellido y Nombre: </w:t>
      </w:r>
      <w:r>
        <w:rPr>
          <w:b/>
        </w:rPr>
        <w:t>ANDRADA, SUSANA SILVIA MÓNICA</w:t>
      </w:r>
    </w:p>
    <w:p w:rsidR="00E77B28" w:rsidRDefault="00142ED5">
      <w:pPr>
        <w:spacing w:before="240" w:after="240" w:line="240" w:lineRule="auto"/>
        <w:ind w:left="340"/>
        <w:jc w:val="both"/>
      </w:pPr>
      <w:r>
        <w:t>- Nº DNI / CUIL: 22712381</w:t>
      </w:r>
      <w:bookmarkStart w:id="0" w:name="_GoBack"/>
      <w:bookmarkEnd w:id="0"/>
    </w:p>
    <w:p w:rsidR="00E77B28" w:rsidRDefault="00142ED5">
      <w:pPr>
        <w:spacing w:before="240" w:after="240" w:line="240" w:lineRule="auto"/>
        <w:ind w:left="340"/>
        <w:jc w:val="both"/>
      </w:pPr>
      <w:r>
        <w:t>- Nº Legajo en la UNC: 80452</w:t>
      </w:r>
    </w:p>
    <w:p w:rsidR="00E77B28" w:rsidRDefault="00142ED5">
      <w:pPr>
        <w:spacing w:before="240" w:after="240" w:line="240" w:lineRule="auto"/>
        <w:ind w:left="340"/>
        <w:jc w:val="both"/>
      </w:pPr>
      <w:r>
        <w:t>- Cargo: Facultad de Ciencias Sociales – Profesora Titular, Cargo Semiexclusivo, Concursada</w:t>
      </w:r>
    </w:p>
    <w:p w:rsidR="00E77B28" w:rsidRDefault="00142ED5">
      <w:pPr>
        <w:spacing w:before="240" w:after="240" w:line="240" w:lineRule="auto"/>
        <w:ind w:left="340"/>
        <w:jc w:val="both"/>
      </w:pPr>
      <w:r>
        <w:t>- Datos de Contacto (Dirección, Teléfono, email, etc): Etruria 8995 V° Rivera Indarte. Celular: 351 337-8209 Mail: suandrada@unc.edu.ar</w:t>
      </w:r>
    </w:p>
    <w:p w:rsidR="00E77B28" w:rsidRDefault="00142ED5">
      <w:pPr>
        <w:spacing w:before="240" w:after="240" w:line="240" w:lineRule="auto"/>
        <w:ind w:left="340"/>
        <w:jc w:val="both"/>
      </w:pPr>
      <w:r>
        <w:t xml:space="preserve"> </w:t>
      </w:r>
    </w:p>
    <w:p w:rsidR="00E77B28" w:rsidRDefault="00142ED5">
      <w:pPr>
        <w:numPr>
          <w:ilvl w:val="0"/>
          <w:numId w:val="2"/>
        </w:numPr>
        <w:spacing w:before="240" w:after="240" w:line="240" w:lineRule="auto"/>
        <w:jc w:val="both"/>
        <w:rPr>
          <w:rFonts w:ascii="Times New Roman" w:eastAsia="Times New Roman" w:hAnsi="Times New Roman" w:cs="Times New Roman"/>
        </w:rPr>
      </w:pPr>
      <w:r>
        <w:t xml:space="preserve">Apellido y Nombre: </w:t>
      </w:r>
      <w:r>
        <w:rPr>
          <w:b/>
        </w:rPr>
        <w:t>MACHINANDIARENA, ANA PAOLA</w:t>
      </w:r>
    </w:p>
    <w:p w:rsidR="00E77B28" w:rsidRDefault="00142ED5">
      <w:pPr>
        <w:spacing w:before="240" w:after="240" w:line="240" w:lineRule="auto"/>
        <w:ind w:left="340"/>
        <w:jc w:val="both"/>
      </w:pPr>
      <w:r>
        <w:t>- Nº DNI / CUIL: 27-25698619-7</w:t>
      </w:r>
    </w:p>
    <w:p w:rsidR="00E77B28" w:rsidRDefault="00142ED5">
      <w:pPr>
        <w:spacing w:before="240" w:after="240" w:line="240" w:lineRule="auto"/>
        <w:ind w:left="340"/>
        <w:jc w:val="both"/>
      </w:pPr>
      <w:r>
        <w:t>- Nº Legajo en la UNC: 41453</w:t>
      </w:r>
    </w:p>
    <w:p w:rsidR="00E77B28" w:rsidRDefault="00142ED5">
      <w:pPr>
        <w:spacing w:before="240" w:after="240" w:line="240" w:lineRule="auto"/>
        <w:ind w:left="340"/>
        <w:jc w:val="both"/>
      </w:pPr>
      <w:r>
        <w:t>- Cargo: Fac</w:t>
      </w:r>
      <w:r>
        <w:t>ultad de Ciencias Sociales – Profesora Adjunta, Semiexclusiva, Concursada</w:t>
      </w:r>
    </w:p>
    <w:p w:rsidR="00E77B28" w:rsidRDefault="00142ED5">
      <w:pPr>
        <w:spacing w:before="240" w:after="240" w:line="240" w:lineRule="auto"/>
        <w:ind w:left="340"/>
        <w:jc w:val="both"/>
      </w:pPr>
      <w:r>
        <w:t>- Datos de Contacto (Dirección, Teléfono, email, etc): Soldado Ruiz N° 1030 – 3er piso – depto. 26 – Barrio San Martín. Celular: 0351-153121714 – Mail: ani_pao_machi@yahoo.com.ar</w:t>
      </w:r>
    </w:p>
    <w:p w:rsidR="00E77B28" w:rsidRDefault="00E77B28">
      <w:pPr>
        <w:spacing w:before="240" w:after="240" w:line="240" w:lineRule="auto"/>
        <w:jc w:val="both"/>
        <w:rPr>
          <w:b/>
        </w:rPr>
      </w:pPr>
    </w:p>
    <w:p w:rsidR="00E77B28" w:rsidRDefault="00142ED5">
      <w:pPr>
        <w:spacing w:before="240" w:after="240" w:line="240" w:lineRule="auto"/>
        <w:jc w:val="both"/>
        <w:rPr>
          <w:b/>
        </w:rPr>
      </w:pPr>
      <w:r>
        <w:rPr>
          <w:b/>
        </w:rPr>
        <w:t>Equipo de colaboradores/as del dictado:</w:t>
      </w:r>
    </w:p>
    <w:p w:rsidR="00E77B28" w:rsidRDefault="00142ED5">
      <w:pPr>
        <w:spacing w:before="240" w:after="240" w:line="240" w:lineRule="auto"/>
        <w:jc w:val="both"/>
      </w:pPr>
      <w:r>
        <w:t xml:space="preserve"> </w:t>
      </w:r>
    </w:p>
    <w:tbl>
      <w:tblPr>
        <w:tblStyle w:val="a"/>
        <w:tblW w:w="81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00"/>
        <w:gridCol w:w="1215"/>
        <w:gridCol w:w="2025"/>
        <w:gridCol w:w="1995"/>
        <w:gridCol w:w="1710"/>
      </w:tblGrid>
      <w:tr w:rsidR="00E77B28">
        <w:trPr>
          <w:trHeight w:val="1185"/>
        </w:trPr>
        <w:tc>
          <w:tcPr>
            <w:tcW w:w="1200" w:type="dxa"/>
            <w:tcBorders>
              <w:top w:val="single" w:sz="8" w:space="0" w:color="000001"/>
              <w:left w:val="single" w:sz="8" w:space="0" w:color="000001"/>
              <w:bottom w:val="single" w:sz="8" w:space="0" w:color="000001"/>
              <w:right w:val="nil"/>
            </w:tcBorders>
            <w:shd w:val="clear" w:color="auto" w:fill="FFFFFF"/>
            <w:tcMar>
              <w:top w:w="60" w:type="dxa"/>
              <w:left w:w="60" w:type="dxa"/>
              <w:bottom w:w="60" w:type="dxa"/>
              <w:right w:w="60" w:type="dxa"/>
            </w:tcMar>
          </w:tcPr>
          <w:p w:rsidR="00E77B28" w:rsidRDefault="00142ED5">
            <w:pPr>
              <w:spacing w:before="240" w:line="240" w:lineRule="auto"/>
              <w:ind w:left="60"/>
              <w:jc w:val="center"/>
            </w:pPr>
            <w:r>
              <w:t>Apellido y Nombre</w:t>
            </w:r>
          </w:p>
        </w:tc>
        <w:tc>
          <w:tcPr>
            <w:tcW w:w="1215" w:type="dxa"/>
            <w:tcBorders>
              <w:top w:val="single" w:sz="8" w:space="0" w:color="000001"/>
              <w:left w:val="single" w:sz="8" w:space="0" w:color="000001"/>
              <w:bottom w:val="single" w:sz="8" w:space="0" w:color="000001"/>
              <w:right w:val="nil"/>
            </w:tcBorders>
            <w:shd w:val="clear" w:color="auto" w:fill="FFFFFF"/>
            <w:tcMar>
              <w:top w:w="60" w:type="dxa"/>
              <w:left w:w="60" w:type="dxa"/>
              <w:bottom w:w="60" w:type="dxa"/>
              <w:right w:w="60" w:type="dxa"/>
            </w:tcMar>
          </w:tcPr>
          <w:p w:rsidR="00E77B28" w:rsidRDefault="00142ED5">
            <w:pPr>
              <w:spacing w:before="240" w:line="240" w:lineRule="auto"/>
              <w:ind w:left="60"/>
              <w:jc w:val="center"/>
            </w:pPr>
            <w:r>
              <w:t>DNI / Nº Legajo en la UNC</w:t>
            </w:r>
          </w:p>
        </w:tc>
        <w:tc>
          <w:tcPr>
            <w:tcW w:w="2025" w:type="dxa"/>
            <w:tcBorders>
              <w:top w:val="single" w:sz="8" w:space="0" w:color="000001"/>
              <w:left w:val="single" w:sz="8" w:space="0" w:color="000001"/>
              <w:bottom w:val="single" w:sz="8" w:space="0" w:color="000001"/>
              <w:right w:val="nil"/>
            </w:tcBorders>
            <w:shd w:val="clear" w:color="auto" w:fill="FFFFFF"/>
            <w:tcMar>
              <w:top w:w="60" w:type="dxa"/>
              <w:left w:w="60" w:type="dxa"/>
              <w:bottom w:w="60" w:type="dxa"/>
              <w:right w:w="60" w:type="dxa"/>
            </w:tcMar>
          </w:tcPr>
          <w:p w:rsidR="00E77B28" w:rsidRDefault="00142ED5">
            <w:pPr>
              <w:spacing w:before="240" w:line="240" w:lineRule="auto"/>
              <w:ind w:left="60"/>
              <w:jc w:val="center"/>
            </w:pPr>
            <w:r>
              <w:t>Institución</w:t>
            </w:r>
          </w:p>
        </w:tc>
        <w:tc>
          <w:tcPr>
            <w:tcW w:w="1995" w:type="dxa"/>
            <w:tcBorders>
              <w:top w:val="single" w:sz="8" w:space="0" w:color="000001"/>
              <w:left w:val="single" w:sz="8" w:space="0" w:color="000001"/>
              <w:bottom w:val="single" w:sz="8" w:space="0" w:color="000001"/>
              <w:right w:val="nil"/>
            </w:tcBorders>
            <w:shd w:val="clear" w:color="auto" w:fill="FFFFFF"/>
            <w:tcMar>
              <w:top w:w="60" w:type="dxa"/>
              <w:left w:w="60" w:type="dxa"/>
              <w:bottom w:w="60" w:type="dxa"/>
              <w:right w:w="60" w:type="dxa"/>
            </w:tcMar>
          </w:tcPr>
          <w:p w:rsidR="00E77B28" w:rsidRDefault="00142ED5">
            <w:pPr>
              <w:spacing w:before="240" w:line="240" w:lineRule="auto"/>
              <w:ind w:left="60"/>
              <w:jc w:val="center"/>
            </w:pPr>
            <w:r>
              <w:t>Cargo</w:t>
            </w:r>
          </w:p>
        </w:tc>
        <w:tc>
          <w:tcPr>
            <w:tcW w:w="1710" w:type="dxa"/>
            <w:tcBorders>
              <w:top w:val="single" w:sz="8" w:space="0" w:color="000001"/>
              <w:left w:val="single" w:sz="8" w:space="0" w:color="000001"/>
              <w:bottom w:val="single" w:sz="8" w:space="0" w:color="000001"/>
              <w:right w:val="nil"/>
            </w:tcBorders>
            <w:tcMar>
              <w:top w:w="60" w:type="dxa"/>
              <w:left w:w="60" w:type="dxa"/>
              <w:bottom w:w="60" w:type="dxa"/>
              <w:right w:w="60" w:type="dxa"/>
            </w:tcMar>
          </w:tcPr>
          <w:p w:rsidR="00E77B28" w:rsidRDefault="00142ED5">
            <w:pPr>
              <w:spacing w:before="240" w:line="240" w:lineRule="auto"/>
              <w:ind w:left="60"/>
              <w:jc w:val="center"/>
            </w:pPr>
            <w:r>
              <w:t xml:space="preserve">Tarea </w:t>
            </w:r>
          </w:p>
        </w:tc>
      </w:tr>
      <w:tr w:rsidR="00E77B28">
        <w:trPr>
          <w:trHeight w:val="1830"/>
        </w:trPr>
        <w:tc>
          <w:tcPr>
            <w:tcW w:w="1200" w:type="dxa"/>
            <w:tcBorders>
              <w:top w:val="nil"/>
              <w:left w:val="single" w:sz="8" w:space="0" w:color="000001"/>
              <w:bottom w:val="single" w:sz="8" w:space="0" w:color="000001"/>
              <w:right w:val="nil"/>
            </w:tcBorders>
            <w:shd w:val="clear" w:color="auto" w:fill="FFFFFF"/>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lastRenderedPageBreak/>
              <w:t>Rodriguez Samanta Lara</w:t>
            </w:r>
          </w:p>
        </w:tc>
        <w:tc>
          <w:tcPr>
            <w:tcW w:w="1215" w:type="dxa"/>
            <w:tcBorders>
              <w:top w:val="nil"/>
              <w:left w:val="single" w:sz="8" w:space="0" w:color="000001"/>
              <w:bottom w:val="single" w:sz="8" w:space="0" w:color="000001"/>
              <w:right w:val="nil"/>
            </w:tcBorders>
            <w:shd w:val="clear" w:color="auto" w:fill="FFFFFF"/>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t>30504114</w:t>
            </w:r>
          </w:p>
        </w:tc>
        <w:tc>
          <w:tcPr>
            <w:tcW w:w="2025" w:type="dxa"/>
            <w:tcBorders>
              <w:top w:val="nil"/>
              <w:left w:val="single" w:sz="8" w:space="0" w:color="000001"/>
              <w:bottom w:val="single" w:sz="8" w:space="0" w:color="000001"/>
              <w:right w:val="nil"/>
            </w:tcBorders>
            <w:shd w:val="clear" w:color="auto" w:fill="FFFFFF"/>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t>Comuna Villa La Bolsa</w:t>
            </w:r>
          </w:p>
          <w:p w:rsidR="00E77B28" w:rsidRDefault="00142ED5">
            <w:pPr>
              <w:spacing w:before="240" w:line="240" w:lineRule="auto"/>
              <w:ind w:left="60"/>
              <w:jc w:val="center"/>
              <w:rPr>
                <w:sz w:val="20"/>
                <w:szCs w:val="20"/>
              </w:rPr>
            </w:pPr>
            <w:r>
              <w:rPr>
                <w:sz w:val="20"/>
                <w:szCs w:val="20"/>
              </w:rPr>
              <w:t xml:space="preserve"> </w:t>
            </w:r>
          </w:p>
          <w:p w:rsidR="00E77B28" w:rsidRDefault="00142ED5">
            <w:pPr>
              <w:spacing w:before="240" w:line="240" w:lineRule="auto"/>
              <w:ind w:left="60"/>
              <w:rPr>
                <w:sz w:val="20"/>
                <w:szCs w:val="20"/>
              </w:rPr>
            </w:pPr>
            <w:r>
              <w:rPr>
                <w:sz w:val="20"/>
                <w:szCs w:val="20"/>
              </w:rPr>
              <w:t xml:space="preserve"> </w:t>
            </w:r>
          </w:p>
        </w:tc>
        <w:tc>
          <w:tcPr>
            <w:tcW w:w="1995" w:type="dxa"/>
            <w:tcBorders>
              <w:top w:val="nil"/>
              <w:left w:val="single" w:sz="8" w:space="0" w:color="000001"/>
              <w:bottom w:val="single" w:sz="8" w:space="0" w:color="000001"/>
              <w:right w:val="nil"/>
            </w:tcBorders>
            <w:shd w:val="clear" w:color="auto" w:fill="FFFFFF"/>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t>Trabajadora Social</w:t>
            </w:r>
          </w:p>
          <w:p w:rsidR="00E77B28" w:rsidRDefault="00142ED5">
            <w:pPr>
              <w:spacing w:before="240" w:line="240" w:lineRule="auto"/>
              <w:ind w:left="60"/>
              <w:jc w:val="center"/>
              <w:rPr>
                <w:sz w:val="20"/>
                <w:szCs w:val="20"/>
              </w:rPr>
            </w:pPr>
            <w:r>
              <w:rPr>
                <w:sz w:val="20"/>
                <w:szCs w:val="20"/>
              </w:rPr>
              <w:t>Y Doctoranda en Doctorado en estudios de género - CEA</w:t>
            </w:r>
          </w:p>
        </w:tc>
        <w:tc>
          <w:tcPr>
            <w:tcW w:w="1710" w:type="dxa"/>
            <w:tcBorders>
              <w:top w:val="nil"/>
              <w:left w:val="single" w:sz="8" w:space="0" w:color="000001"/>
              <w:bottom w:val="single" w:sz="8" w:space="0" w:color="000001"/>
              <w:right w:val="nil"/>
            </w:tcBorders>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t xml:space="preserve"> Colaboradora</w:t>
            </w:r>
          </w:p>
        </w:tc>
      </w:tr>
      <w:tr w:rsidR="00E77B28">
        <w:trPr>
          <w:trHeight w:val="1290"/>
        </w:trPr>
        <w:tc>
          <w:tcPr>
            <w:tcW w:w="1200" w:type="dxa"/>
            <w:tcBorders>
              <w:top w:val="nil"/>
              <w:left w:val="single" w:sz="8" w:space="0" w:color="000001"/>
              <w:bottom w:val="single" w:sz="8" w:space="0" w:color="000001"/>
              <w:right w:val="nil"/>
            </w:tcBorders>
            <w:shd w:val="clear" w:color="auto" w:fill="FFFFFF"/>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t>Flores María Noelia</w:t>
            </w:r>
          </w:p>
        </w:tc>
        <w:tc>
          <w:tcPr>
            <w:tcW w:w="1215" w:type="dxa"/>
            <w:tcBorders>
              <w:top w:val="nil"/>
              <w:left w:val="single" w:sz="8" w:space="0" w:color="000001"/>
              <w:bottom w:val="single" w:sz="8" w:space="0" w:color="000001"/>
              <w:right w:val="nil"/>
            </w:tcBorders>
            <w:shd w:val="clear" w:color="auto" w:fill="FFFFFF"/>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t xml:space="preserve"> 28653475</w:t>
            </w:r>
          </w:p>
        </w:tc>
        <w:tc>
          <w:tcPr>
            <w:tcW w:w="2025" w:type="dxa"/>
            <w:tcBorders>
              <w:top w:val="nil"/>
              <w:left w:val="single" w:sz="8" w:space="0" w:color="000001"/>
              <w:bottom w:val="single" w:sz="8" w:space="0" w:color="000001"/>
              <w:right w:val="nil"/>
            </w:tcBorders>
            <w:shd w:val="clear" w:color="auto" w:fill="FFFFFF"/>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t>Dirección de Habitat de la Municipalidad de Córdoba</w:t>
            </w:r>
          </w:p>
        </w:tc>
        <w:tc>
          <w:tcPr>
            <w:tcW w:w="1995" w:type="dxa"/>
            <w:tcBorders>
              <w:top w:val="nil"/>
              <w:left w:val="single" w:sz="8" w:space="0" w:color="000001"/>
              <w:bottom w:val="single" w:sz="8" w:space="0" w:color="000001"/>
              <w:right w:val="nil"/>
            </w:tcBorders>
            <w:shd w:val="clear" w:color="auto" w:fill="FFFFFF"/>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t xml:space="preserve"> Trabajadora Social</w:t>
            </w:r>
          </w:p>
        </w:tc>
        <w:tc>
          <w:tcPr>
            <w:tcW w:w="1710" w:type="dxa"/>
            <w:tcBorders>
              <w:top w:val="nil"/>
              <w:left w:val="single" w:sz="8" w:space="0" w:color="000001"/>
              <w:bottom w:val="single" w:sz="8" w:space="0" w:color="000001"/>
              <w:right w:val="nil"/>
            </w:tcBorders>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t>Colaboradora</w:t>
            </w:r>
          </w:p>
        </w:tc>
      </w:tr>
      <w:tr w:rsidR="00E77B28">
        <w:trPr>
          <w:trHeight w:val="1635"/>
        </w:trPr>
        <w:tc>
          <w:tcPr>
            <w:tcW w:w="1200" w:type="dxa"/>
            <w:tcBorders>
              <w:top w:val="nil"/>
              <w:left w:val="single" w:sz="8" w:space="0" w:color="000001"/>
              <w:bottom w:val="single" w:sz="8" w:space="0" w:color="000001"/>
              <w:right w:val="nil"/>
            </w:tcBorders>
            <w:shd w:val="clear" w:color="auto" w:fill="FFFFFF"/>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t xml:space="preserve"> Techera, Cristina Beatriz</w:t>
            </w:r>
          </w:p>
        </w:tc>
        <w:tc>
          <w:tcPr>
            <w:tcW w:w="1215" w:type="dxa"/>
            <w:tcBorders>
              <w:top w:val="nil"/>
              <w:left w:val="single" w:sz="8" w:space="0" w:color="000001"/>
              <w:bottom w:val="single" w:sz="8" w:space="0" w:color="000001"/>
              <w:right w:val="nil"/>
            </w:tcBorders>
            <w:shd w:val="clear" w:color="auto" w:fill="FFFFFF"/>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t>21902322</w:t>
            </w:r>
          </w:p>
        </w:tc>
        <w:tc>
          <w:tcPr>
            <w:tcW w:w="2025" w:type="dxa"/>
            <w:tcBorders>
              <w:top w:val="nil"/>
              <w:left w:val="single" w:sz="8" w:space="0" w:color="000001"/>
              <w:bottom w:val="single" w:sz="8" w:space="0" w:color="000001"/>
              <w:right w:val="nil"/>
            </w:tcBorders>
            <w:shd w:val="clear" w:color="auto" w:fill="FFFFFF"/>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t>Archivo Provincial de la Memoria y Ipem 12 Pte Perón y 12 anexo Socavones</w:t>
            </w:r>
          </w:p>
        </w:tc>
        <w:tc>
          <w:tcPr>
            <w:tcW w:w="1995" w:type="dxa"/>
            <w:tcBorders>
              <w:top w:val="nil"/>
              <w:left w:val="single" w:sz="8" w:space="0" w:color="000001"/>
              <w:bottom w:val="single" w:sz="8" w:space="0" w:color="000001"/>
              <w:right w:val="nil"/>
            </w:tcBorders>
            <w:shd w:val="clear" w:color="auto" w:fill="FFFFFF"/>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t>Trabajadora Social y Docente Secundaria</w:t>
            </w:r>
          </w:p>
        </w:tc>
        <w:tc>
          <w:tcPr>
            <w:tcW w:w="1710" w:type="dxa"/>
            <w:tcBorders>
              <w:top w:val="nil"/>
              <w:left w:val="single" w:sz="8" w:space="0" w:color="000001"/>
              <w:bottom w:val="single" w:sz="8" w:space="0" w:color="000001"/>
              <w:right w:val="nil"/>
            </w:tcBorders>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t>Colaboradora</w:t>
            </w:r>
          </w:p>
        </w:tc>
      </w:tr>
      <w:tr w:rsidR="00E77B28">
        <w:trPr>
          <w:trHeight w:val="1470"/>
        </w:trPr>
        <w:tc>
          <w:tcPr>
            <w:tcW w:w="1200" w:type="dxa"/>
            <w:tcBorders>
              <w:top w:val="nil"/>
              <w:left w:val="single" w:sz="8" w:space="0" w:color="000001"/>
              <w:bottom w:val="nil"/>
              <w:right w:val="nil"/>
            </w:tcBorders>
            <w:shd w:val="clear" w:color="auto" w:fill="FFFFFF"/>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t>Szabo Rosalia Marta Elizabet</w:t>
            </w:r>
          </w:p>
        </w:tc>
        <w:tc>
          <w:tcPr>
            <w:tcW w:w="1215" w:type="dxa"/>
            <w:tcBorders>
              <w:top w:val="nil"/>
              <w:left w:val="single" w:sz="8" w:space="0" w:color="000001"/>
              <w:bottom w:val="nil"/>
              <w:right w:val="nil"/>
            </w:tcBorders>
            <w:shd w:val="clear" w:color="auto" w:fill="FFFFFF"/>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t xml:space="preserve"> 21349082</w:t>
            </w:r>
          </w:p>
        </w:tc>
        <w:tc>
          <w:tcPr>
            <w:tcW w:w="2025" w:type="dxa"/>
            <w:tcBorders>
              <w:top w:val="nil"/>
              <w:left w:val="single" w:sz="8" w:space="0" w:color="000001"/>
              <w:bottom w:val="nil"/>
              <w:right w:val="nil"/>
            </w:tcBorders>
            <w:shd w:val="clear" w:color="auto" w:fill="FFFFFF"/>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t xml:space="preserve"> Programa Casas Abiertas - El Aljibe - SeNAF</w:t>
            </w:r>
          </w:p>
        </w:tc>
        <w:tc>
          <w:tcPr>
            <w:tcW w:w="1995" w:type="dxa"/>
            <w:tcBorders>
              <w:top w:val="nil"/>
              <w:left w:val="single" w:sz="8" w:space="0" w:color="000001"/>
              <w:bottom w:val="nil"/>
              <w:right w:val="nil"/>
            </w:tcBorders>
            <w:shd w:val="clear" w:color="auto" w:fill="FFFFFF"/>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t>Trabajadora Social</w:t>
            </w:r>
          </w:p>
        </w:tc>
        <w:tc>
          <w:tcPr>
            <w:tcW w:w="1710" w:type="dxa"/>
            <w:tcBorders>
              <w:top w:val="nil"/>
              <w:left w:val="single" w:sz="8" w:space="0" w:color="000001"/>
              <w:bottom w:val="nil"/>
              <w:right w:val="nil"/>
            </w:tcBorders>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t>Colaboradora</w:t>
            </w:r>
          </w:p>
        </w:tc>
      </w:tr>
      <w:tr w:rsidR="00E77B28">
        <w:trPr>
          <w:trHeight w:val="1710"/>
        </w:trPr>
        <w:tc>
          <w:tcPr>
            <w:tcW w:w="1200" w:type="dxa"/>
            <w:tcBorders>
              <w:top w:val="nil"/>
              <w:left w:val="single" w:sz="8" w:space="0" w:color="000001"/>
              <w:bottom w:val="single" w:sz="8" w:space="0" w:color="000001"/>
              <w:right w:val="nil"/>
            </w:tcBorders>
            <w:shd w:val="clear" w:color="auto" w:fill="FFFFFF"/>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t>Marrone María Andrea</w:t>
            </w:r>
          </w:p>
        </w:tc>
        <w:tc>
          <w:tcPr>
            <w:tcW w:w="1215" w:type="dxa"/>
            <w:tcBorders>
              <w:top w:val="nil"/>
              <w:left w:val="single" w:sz="8" w:space="0" w:color="000001"/>
              <w:bottom w:val="single" w:sz="8" w:space="0" w:color="000001"/>
              <w:right w:val="nil"/>
            </w:tcBorders>
            <w:shd w:val="clear" w:color="auto" w:fill="FFFFFF"/>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t>20755416</w:t>
            </w:r>
          </w:p>
        </w:tc>
        <w:tc>
          <w:tcPr>
            <w:tcW w:w="2025" w:type="dxa"/>
            <w:tcBorders>
              <w:top w:val="nil"/>
              <w:left w:val="single" w:sz="8" w:space="0" w:color="000001"/>
              <w:bottom w:val="single" w:sz="8" w:space="0" w:color="000001"/>
              <w:right w:val="nil"/>
            </w:tcBorders>
            <w:shd w:val="clear" w:color="auto" w:fill="FFFFFF"/>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t>FCM y FCS UNC</w:t>
            </w:r>
          </w:p>
        </w:tc>
        <w:tc>
          <w:tcPr>
            <w:tcW w:w="1995" w:type="dxa"/>
            <w:tcBorders>
              <w:top w:val="nil"/>
              <w:left w:val="single" w:sz="8" w:space="0" w:color="000001"/>
              <w:bottom w:val="single" w:sz="8" w:space="0" w:color="000001"/>
              <w:right w:val="nil"/>
            </w:tcBorders>
            <w:shd w:val="clear" w:color="auto" w:fill="FFFFFF"/>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t>Licenciada en Trabajo Social y docente universitaria</w:t>
            </w:r>
          </w:p>
        </w:tc>
        <w:tc>
          <w:tcPr>
            <w:tcW w:w="1710" w:type="dxa"/>
            <w:tcBorders>
              <w:top w:val="nil"/>
              <w:left w:val="single" w:sz="8" w:space="0" w:color="000001"/>
              <w:bottom w:val="single" w:sz="8" w:space="0" w:color="000001"/>
              <w:right w:val="nil"/>
            </w:tcBorders>
            <w:tcMar>
              <w:top w:w="60" w:type="dxa"/>
              <w:left w:w="60" w:type="dxa"/>
              <w:bottom w:w="60" w:type="dxa"/>
              <w:right w:w="60" w:type="dxa"/>
            </w:tcMar>
          </w:tcPr>
          <w:p w:rsidR="00E77B28" w:rsidRDefault="00142ED5">
            <w:pPr>
              <w:spacing w:before="240" w:line="240" w:lineRule="auto"/>
              <w:ind w:left="60"/>
              <w:jc w:val="center"/>
              <w:rPr>
                <w:sz w:val="20"/>
                <w:szCs w:val="20"/>
              </w:rPr>
            </w:pPr>
            <w:r>
              <w:rPr>
                <w:sz w:val="20"/>
                <w:szCs w:val="20"/>
              </w:rPr>
              <w:t>Colaboradora</w:t>
            </w:r>
          </w:p>
        </w:tc>
      </w:tr>
    </w:tbl>
    <w:p w:rsidR="00E77B28" w:rsidRDefault="00E77B28">
      <w:pPr>
        <w:spacing w:before="300" w:after="160" w:line="240" w:lineRule="auto"/>
        <w:ind w:right="-220"/>
      </w:pPr>
    </w:p>
    <w:p w:rsidR="00E77B28" w:rsidRDefault="00142ED5">
      <w:pPr>
        <w:numPr>
          <w:ilvl w:val="0"/>
          <w:numId w:val="1"/>
        </w:numPr>
        <w:spacing w:before="300" w:after="160" w:line="240" w:lineRule="auto"/>
        <w:ind w:right="-220"/>
        <w:rPr>
          <w:color w:val="000000"/>
        </w:rPr>
      </w:pPr>
      <w:r>
        <w:t>Perfil de los/as destinatarios/as</w:t>
      </w:r>
    </w:p>
    <w:p w:rsidR="00E77B28" w:rsidRDefault="00142ED5">
      <w:pPr>
        <w:spacing w:before="300" w:after="160" w:line="240" w:lineRule="auto"/>
        <w:ind w:right="-220"/>
      </w:pPr>
      <w:r>
        <w:t>La propuesta está pensada para profesionales, docentes, educadores populares que se desempeñan en ámbitos de intervención con niñes y jóvenes y deseen reflexionar y repensar, socializar y compartir estrategias de intervención, herramientas, enfoques.</w:t>
      </w:r>
    </w:p>
    <w:p w:rsidR="00E77B28" w:rsidRDefault="00142ED5">
      <w:pPr>
        <w:numPr>
          <w:ilvl w:val="0"/>
          <w:numId w:val="1"/>
        </w:numPr>
        <w:spacing w:before="300" w:after="160" w:line="240" w:lineRule="auto"/>
        <w:ind w:right="-220"/>
        <w:rPr>
          <w:color w:val="000000"/>
        </w:rPr>
      </w:pPr>
      <w:r>
        <w:t>Modal</w:t>
      </w:r>
      <w:r>
        <w:t>idad de dictado (recuerde que para el primer semestre sólo se admitirán propuestas en modalidad virtual)</w:t>
      </w:r>
    </w:p>
    <w:p w:rsidR="00E77B28" w:rsidRDefault="00142ED5">
      <w:pPr>
        <w:spacing w:before="300" w:after="160" w:line="240" w:lineRule="auto"/>
        <w:ind w:right="-220"/>
      </w:pPr>
      <w:r>
        <w:t>La modalidad es virtual con clases sincrónicas y actividades asincrónicas en el aula virtual donde se aloje la propuesta</w:t>
      </w:r>
    </w:p>
    <w:p w:rsidR="00E77B28" w:rsidRDefault="00142ED5">
      <w:pPr>
        <w:numPr>
          <w:ilvl w:val="0"/>
          <w:numId w:val="1"/>
        </w:numPr>
        <w:spacing w:before="300" w:after="160" w:line="240" w:lineRule="auto"/>
        <w:ind w:right="-220"/>
        <w:rPr>
          <w:color w:val="000000"/>
        </w:rPr>
      </w:pPr>
      <w:r>
        <w:t>Carga horaria (acorde a la pro</w:t>
      </w:r>
      <w:r>
        <w:t>puesta presentada)</w:t>
      </w:r>
    </w:p>
    <w:p w:rsidR="00E77B28" w:rsidRDefault="00142ED5">
      <w:pPr>
        <w:spacing w:before="300" w:after="160" w:line="240" w:lineRule="auto"/>
        <w:ind w:right="-220"/>
      </w:pPr>
      <w:r>
        <w:t>20 hs (8 hs sincrónicas y 12 asincrónicas de las cuales 6 corresponden a actividades a realizar durante el cursado y 6 a un trabajo de reflexión final)</w:t>
      </w:r>
    </w:p>
    <w:p w:rsidR="00E77B28" w:rsidRDefault="00142ED5">
      <w:pPr>
        <w:numPr>
          <w:ilvl w:val="0"/>
          <w:numId w:val="1"/>
        </w:numPr>
        <w:spacing w:before="300" w:after="160" w:line="240" w:lineRule="auto"/>
        <w:ind w:right="-220"/>
        <w:rPr>
          <w:color w:val="000000"/>
        </w:rPr>
      </w:pPr>
      <w:r>
        <w:lastRenderedPageBreak/>
        <w:t>Fundamentación</w:t>
      </w:r>
    </w:p>
    <w:p w:rsidR="00E77B28" w:rsidRDefault="00142ED5">
      <w:pPr>
        <w:spacing w:before="300" w:after="160" w:line="240" w:lineRule="auto"/>
        <w:ind w:right="-220"/>
      </w:pPr>
      <w:r>
        <w:t>La presentación de este Curso de Actualización se fundamenta en la nec</w:t>
      </w:r>
      <w:r>
        <w:t>esidad de que profesionales del Trabajo Social o de otras disciplinas nos encontremos en la búsqueda de herramientas de intervención sostenidas en el protagonismo de niñes y jóvenes, la participación organizada y el marco de los derechos humanos.</w:t>
      </w:r>
    </w:p>
    <w:p w:rsidR="00E77B28" w:rsidRDefault="00142ED5">
      <w:pPr>
        <w:spacing w:before="300" w:after="160" w:line="240" w:lineRule="auto"/>
        <w:ind w:right="-220"/>
      </w:pPr>
      <w:r>
        <w:t>Es precis</w:t>
      </w:r>
      <w:r>
        <w:t>o reconocer algunas características específicas de las niñeces y las juventudes como cuestión social, las múltiples opresiones que confluyen en sus condiciones de vida y los paradigmas que dan forma a la intervención con elles.  Comprender para construir n</w:t>
      </w:r>
      <w:r>
        <w:t xml:space="preserve">uevas estrategias, nuevas herramientas que nos permitan </w:t>
      </w:r>
      <w:r>
        <w:rPr>
          <w:i/>
        </w:rPr>
        <w:t>trabajar con, crear paridades, sortear dificultades  y co-construir con elles vidas dignas.</w:t>
      </w:r>
    </w:p>
    <w:p w:rsidR="00E77B28" w:rsidRDefault="00142ED5">
      <w:pPr>
        <w:spacing w:before="300" w:after="160" w:line="240" w:lineRule="auto"/>
        <w:ind w:right="-220"/>
      </w:pPr>
      <w:r>
        <w:t>Una coordenada ineludible hoy para pensar la situación de niñez y jóvenes, son los derechos que en este tiem</w:t>
      </w:r>
      <w:r>
        <w:t>po se han conquistado, la Ley nacional 26061  expresó un cambio radical en el modo de concebir las niñeces y la relación de estos sujetos con el Estado, posibilitando e instando a una nueva institucionalidad todavía en construcción</w:t>
      </w:r>
      <w:r>
        <w:rPr>
          <w:vertAlign w:val="superscript"/>
        </w:rPr>
        <w:footnoteReference w:id="1"/>
      </w:r>
      <w:r>
        <w:t>. Quizás como dice Boave</w:t>
      </w:r>
      <w:r>
        <w:t>ntura de Souza Santos (2014:23) “hoy es innegable la hegemonía de los derechos humanos como lenguaje de la dignidad humana. Sin embargo, esta hegemonía debe convivir con una realidad alarmante”. ¿Cómo hacer realidad los derechos desde nuestro trabajo cotid</w:t>
      </w:r>
      <w:r>
        <w:t>iano?</w:t>
      </w:r>
    </w:p>
    <w:p w:rsidR="00E77B28" w:rsidRDefault="00142ED5">
      <w:pPr>
        <w:spacing w:before="300" w:after="160" w:line="240" w:lineRule="auto"/>
        <w:ind w:right="-220"/>
      </w:pPr>
      <w:r>
        <w:rPr>
          <w:highlight w:val="white"/>
        </w:rPr>
        <w:t xml:space="preserve">Quizás uno de los grandes desafíos para el trabajo con niñes y jóvenes es romper con la imagen única  y universal. El pensamiento occidental y moderno, patriarcal, adultocéntrica y colonial nos presenta una niñez posible y deseable ¿Cómo revalorizar </w:t>
      </w:r>
      <w:r>
        <w:rPr>
          <w:highlight w:val="white"/>
        </w:rPr>
        <w:t>y favorecer otros modos de vivir la niñez y la juventudes?  ¿cómo construir otras formas de sociabilidad e inclusión que no estén determinadas por el mercado-consumo o la escolaridad bancaria -enciclopedista? ¿Cómo crear comunidad para acompañar las niñece</w:t>
      </w:r>
      <w:r>
        <w:rPr>
          <w:highlight w:val="white"/>
        </w:rPr>
        <w:t>s y juventudes?</w:t>
      </w:r>
      <w:r>
        <w:t xml:space="preserve"> </w:t>
      </w:r>
    </w:p>
    <w:p w:rsidR="00E77B28" w:rsidRDefault="00142ED5">
      <w:pPr>
        <w:spacing w:before="300" w:after="160" w:line="240" w:lineRule="auto"/>
        <w:ind w:right="-220"/>
      </w:pPr>
      <w:r>
        <w:t>Entendemos necesario el conocimiento de las culturas de las infancias para adquirir una comprensión integral, pero siempre en apertura de los sujetos sociales niños/as–adolescentes con quienes pretendemos realizar un ejercicio profesional. Práctica que nec</w:t>
      </w:r>
      <w:r>
        <w:t>esita asentarse en el conocimiento profundo de su realidad y de las teorías sociales que intentan explicar la sociedad en la que les toca vivir, cimentadas en la ética y en la responsabilidad que, como trabajadores sociales, nos compromete en la creación d</w:t>
      </w:r>
      <w:r>
        <w:t>e otro mundo posible con su participación protagónica.</w:t>
      </w:r>
    </w:p>
    <w:p w:rsidR="00E77B28" w:rsidRDefault="00142ED5">
      <w:pPr>
        <w:spacing w:before="300" w:after="160" w:line="240" w:lineRule="auto"/>
        <w:ind w:right="-220"/>
      </w:pPr>
      <w:r>
        <w:t>Ello implica producir una apropiación crítica de conocimientos sobre niños/as y jóvenes como sujetos sociales e históricos con necesidades peculiares, aspiraciones que lo individualizan e inquietudes d</w:t>
      </w:r>
      <w:r>
        <w:t>e su categoría social y generacional que se expresan colectivamente y conforman parte de su proyecto de vida. Sabemos que la identidad de cada niño/a/e de las clases populares se estructura en torno a sus matrices culturales y comunitarias y es desde aquí,</w:t>
      </w:r>
      <w:r>
        <w:t xml:space="preserve"> detectando los componentes alternativos y de resistencia que se manifiestan en nuestra infancia y nuestra juventud, desde donde debemos recuperar su proyecto de vida, cuando éste ha sido impedido o dañado, en un modelo social de globalización excluyente c</w:t>
      </w:r>
      <w:r>
        <w:t xml:space="preserve">omo el que hoy es hegemónico en el planeta que, junto con ellos, lo estamos padeciendo” (Piotti, </w:t>
      </w:r>
      <w:r>
        <w:lastRenderedPageBreak/>
        <w:t xml:space="preserve">fundamentación revisada en 2008). Esto implica en primer lugar, revisar algunas nociones vigentes y dominantes acerca de los/las sujetos/as, que, engarzadas a </w:t>
      </w:r>
      <w:r>
        <w:t>perspectivas teóricas moldean las intervenciones y las políticas sociales. Identificar los modos en que el adultocentrismo, el patriarcado y la colonialidad atraviesan nuestras representaciones y prácticas, tanto como la de los actores en el territorio (Du</w:t>
      </w:r>
      <w:r>
        <w:t>arte, 2017), es parte nodal de la intervención. De igual manera pensar y diseñar estrategias que posibiliten a las y los niñes y jóvenes co-construir nuevas ciudadanías en contextos de creciente desigualdad (Chaves 2010).</w:t>
      </w:r>
    </w:p>
    <w:p w:rsidR="00E77B28" w:rsidRDefault="00142ED5">
      <w:pPr>
        <w:spacing w:before="300" w:after="160" w:line="240" w:lineRule="auto"/>
        <w:ind w:right="-220"/>
      </w:pPr>
      <w:r>
        <w:t xml:space="preserve">Durante el Curso de Actualización </w:t>
      </w:r>
      <w:r>
        <w:t xml:space="preserve">revisaremos entonces la noción de participación y protagonismo desde distintas perspectivas, en particular la que propone la Convención Internacional de los derechos del Niño, a partir de la observación general nº 12 y la propuesta del Movimiento de niños </w:t>
      </w:r>
      <w:r>
        <w:t>y adolescentes Trabajadores de Perú (Cussianovich, 2002, 2006 y 2018). Tomar la participación y el protagonismo como eje de la intervención social desafía las formas adultocéntricas de las relaciones intergeneracionales e institucionales, redescubrir los m</w:t>
      </w:r>
      <w:r>
        <w:t>odos de dominación es fundamental para favorecer el reconocimiento de los sujetos y la validación de su voz. En la participación, el territorio y el espacio público material son elementos que de acuerdo a sus configuraciones hacen de obstáculo o posibilida</w:t>
      </w:r>
      <w:r>
        <w:t>d. El juego y el arte en los territorios cotidianos, para comprender al sujeto que lo juega -recreando la realidad, las reglas y los sentidos-; y generar espacios pedagógicos donde las prácticas estéticas potencien habilidades personales y sociales (autono</w:t>
      </w:r>
      <w:r>
        <w:t>mía, trabajo colectivo, comunicación), es una apuesta que reconoce dichas prácticas culturales como derechos y recursos centrales en la construcción de nuevas ciudadanías (Andrada, 2018).</w:t>
      </w:r>
    </w:p>
    <w:p w:rsidR="00E77B28" w:rsidRDefault="00142ED5">
      <w:pPr>
        <w:spacing w:before="300" w:after="160" w:line="240" w:lineRule="auto"/>
        <w:ind w:right="-220"/>
      </w:pPr>
      <w:r>
        <w:t>Intentaremos también reflexionar sobre el vínculo que tejemos con la</w:t>
      </w:r>
      <w:r>
        <w:t>s y los niñes y jóvenes en las estrategias de trabajo y acompañamiento, es un elemento central, las pedagogías de la ternura y la presencia aportan orientaciones básicas para una hacer con ellos/as, donde gravita el reconocimiento de la humanidad, la digni</w:t>
      </w:r>
      <w:r>
        <w:t>dad y la responsabilidad generacional (Cussianovich 2002, Gomes Da Costa 2004).</w:t>
      </w:r>
    </w:p>
    <w:p w:rsidR="00E77B28" w:rsidRDefault="00142ED5">
      <w:pPr>
        <w:spacing w:before="300" w:after="160" w:line="240" w:lineRule="auto"/>
        <w:ind w:right="-220"/>
      </w:pPr>
      <w:r>
        <w:t>El propósito es crear rupturas y abrir el pensamiento sobre la intervención con las/os niñas/os y jóvenes. Confrontar las corrientes ideológicas y teórico-epistemológicas que g</w:t>
      </w:r>
      <w:r>
        <w:t>uían la acción profesional y adquirir informaciones sobre las necesidades, los deseos y el mundo de la vida niñes y jóvenes como sujetos no sólo de derechos, sino también sociales y políticos. Desde todas estas dimensiones, ellos/as desarrollan su identida</w:t>
      </w:r>
      <w:r>
        <w:t>d específica y su racionalidad propia, inmersos y constructores también de la historia de la humanidad.</w:t>
      </w:r>
    </w:p>
    <w:p w:rsidR="00E77B28" w:rsidRDefault="00E77B28">
      <w:pPr>
        <w:spacing w:before="300" w:after="160" w:line="240" w:lineRule="auto"/>
        <w:ind w:right="-220"/>
      </w:pPr>
    </w:p>
    <w:p w:rsidR="00E77B28" w:rsidRDefault="00142ED5">
      <w:pPr>
        <w:numPr>
          <w:ilvl w:val="0"/>
          <w:numId w:val="1"/>
        </w:numPr>
        <w:spacing w:before="300" w:after="160" w:line="240" w:lineRule="auto"/>
        <w:ind w:right="-220"/>
        <w:rPr>
          <w:color w:val="000000"/>
        </w:rPr>
      </w:pPr>
      <w:r>
        <w:t>Objetivos</w:t>
      </w:r>
    </w:p>
    <w:p w:rsidR="00E77B28" w:rsidRDefault="00142ED5">
      <w:pPr>
        <w:spacing w:before="240" w:after="240" w:line="240" w:lineRule="auto"/>
        <w:jc w:val="both"/>
      </w:pPr>
      <w:r>
        <w:t>- Propiciar la ruptura con formas hegemónicas de pensar e intervenir en torno a las niñeces y las juventudes, configuradas en los sistemas de</w:t>
      </w:r>
      <w:r>
        <w:t xml:space="preserve"> poder capitalista, patriarcal-adultocéntrico y colonial.</w:t>
      </w:r>
    </w:p>
    <w:p w:rsidR="00E77B28" w:rsidRDefault="00142ED5">
      <w:pPr>
        <w:spacing w:before="240" w:after="240" w:line="240" w:lineRule="auto"/>
        <w:jc w:val="both"/>
      </w:pPr>
      <w:r>
        <w:t>- Identificar la situación de les niñes y jóvenes de sectores populares, las vulneraciones y resistencias en los territorios.</w:t>
      </w:r>
    </w:p>
    <w:p w:rsidR="00E77B28" w:rsidRDefault="00142ED5">
      <w:pPr>
        <w:spacing w:before="240" w:after="240" w:line="240" w:lineRule="auto"/>
        <w:jc w:val="both"/>
      </w:pPr>
      <w:r>
        <w:t>- Recuperar y favorecer la construcción de estrategias de trabajo con ni</w:t>
      </w:r>
      <w:r>
        <w:t>ñes y jóvenes que posibiliten protagonismos como reto ético y crítico.</w:t>
      </w:r>
    </w:p>
    <w:p w:rsidR="00E77B28" w:rsidRDefault="00E77B28">
      <w:pPr>
        <w:spacing w:before="300" w:after="160" w:line="240" w:lineRule="auto"/>
        <w:ind w:right="-220"/>
      </w:pPr>
    </w:p>
    <w:p w:rsidR="00E77B28" w:rsidRDefault="00142ED5">
      <w:pPr>
        <w:numPr>
          <w:ilvl w:val="0"/>
          <w:numId w:val="1"/>
        </w:numPr>
        <w:spacing w:before="300" w:after="160" w:line="240" w:lineRule="auto"/>
        <w:ind w:right="-220"/>
        <w:rPr>
          <w:color w:val="000000"/>
        </w:rPr>
      </w:pPr>
      <w:r>
        <w:lastRenderedPageBreak/>
        <w:t>Contenidos</w:t>
      </w:r>
    </w:p>
    <w:p w:rsidR="00E77B28" w:rsidRDefault="00142ED5">
      <w:pPr>
        <w:spacing w:before="240" w:after="240" w:line="240" w:lineRule="auto"/>
      </w:pPr>
      <w:r>
        <w:t xml:space="preserve">UNIDAD 1. PARADIGMAS SOBRE LAS NIÑECES Y JUVENTUDES. </w:t>
      </w:r>
    </w:p>
    <w:p w:rsidR="00E77B28" w:rsidRDefault="00142ED5">
      <w:pPr>
        <w:spacing w:before="240" w:after="240" w:line="240" w:lineRule="auto"/>
      </w:pPr>
      <w:r>
        <w:t>Situación de la niñez y la juventud en Argentina. Territorios, desigualdades y vida cotidiana. Adultocentrismo, patriar</w:t>
      </w:r>
      <w:r>
        <w:t xml:space="preserve">cado y colonialidad. </w:t>
      </w:r>
    </w:p>
    <w:p w:rsidR="00E77B28" w:rsidRDefault="00142ED5">
      <w:pPr>
        <w:spacing w:before="240" w:after="240" w:line="240" w:lineRule="auto"/>
      </w:pPr>
      <w:r>
        <w:t>Breve reconstrucción de los paradigmas en torno a las niñeces y juventudes, poniendo énfasis en la participación y protagonismo colectivo</w:t>
      </w:r>
    </w:p>
    <w:p w:rsidR="00E77B28" w:rsidRDefault="00142ED5">
      <w:pPr>
        <w:spacing w:before="240" w:after="240" w:line="240" w:lineRule="auto"/>
      </w:pPr>
      <w:r>
        <w:t xml:space="preserve"> </w:t>
      </w:r>
    </w:p>
    <w:p w:rsidR="00E77B28" w:rsidRDefault="00142ED5">
      <w:pPr>
        <w:spacing w:before="240" w:after="240" w:line="240" w:lineRule="auto"/>
      </w:pPr>
      <w:r>
        <w:t>UNIDAD 2: NIÑEZ Y DERECHOS</w:t>
      </w:r>
    </w:p>
    <w:p w:rsidR="00E77B28" w:rsidRDefault="00142ED5">
      <w:pPr>
        <w:spacing w:before="240" w:after="240" w:line="240" w:lineRule="auto"/>
      </w:pPr>
      <w:r>
        <w:t>El paradigma de la Protección integral y los Derechos Humanos ¿nuevo horizonte?: Límites y posibilidades. La participación como derecho.</w:t>
      </w:r>
    </w:p>
    <w:p w:rsidR="00E77B28" w:rsidRDefault="00142ED5">
      <w:pPr>
        <w:spacing w:before="240" w:after="240" w:line="240" w:lineRule="auto"/>
      </w:pPr>
      <w:r>
        <w:t>Sistema de protección integral de derechos en Argentina.  Enfoque de derechos en las políticas públicas en diferentes á</w:t>
      </w:r>
      <w:r>
        <w:t xml:space="preserve">mbitos educación, salud, cultura, judicial </w:t>
      </w:r>
    </w:p>
    <w:p w:rsidR="00E77B28" w:rsidRDefault="00142ED5">
      <w:pPr>
        <w:spacing w:before="240" w:after="240" w:line="240" w:lineRule="auto"/>
      </w:pPr>
      <w:r>
        <w:t xml:space="preserve"> </w:t>
      </w:r>
    </w:p>
    <w:p w:rsidR="00E77B28" w:rsidRDefault="00142ED5">
      <w:pPr>
        <w:spacing w:before="240" w:after="240" w:line="240" w:lineRule="auto"/>
      </w:pPr>
      <w:r>
        <w:t>UNIDAD 3: ESTRATEGIAS DE INTERVENCIÓN TERRITORIALES desde la PARTICIPACIÓN PROTAGÓNICA</w:t>
      </w:r>
    </w:p>
    <w:p w:rsidR="00E77B28" w:rsidRDefault="00142ED5">
      <w:pPr>
        <w:spacing w:before="240" w:after="240" w:line="240" w:lineRule="auto"/>
      </w:pPr>
      <w:r>
        <w:t>Introducción a las estrategias. Razones para intervenir.  Momentos Espacios. Procesos. Perspectivas feministas y anticoloni</w:t>
      </w:r>
      <w:r>
        <w:t>ales para el trabajo con niñes. Participación protagónica</w:t>
      </w:r>
    </w:p>
    <w:p w:rsidR="00E77B28" w:rsidRDefault="00142ED5">
      <w:pPr>
        <w:spacing w:before="240" w:after="240" w:line="240" w:lineRule="auto"/>
      </w:pPr>
      <w:r>
        <w:t>Los procesos organizativos y los espacios públicos en el trabajo con niñes y jóvenes. Cartografías sociales en el trabajo con niñes.</w:t>
      </w:r>
    </w:p>
    <w:p w:rsidR="00E77B28" w:rsidRDefault="00142ED5">
      <w:pPr>
        <w:spacing w:before="240" w:after="240" w:line="240" w:lineRule="auto"/>
      </w:pPr>
      <w:r>
        <w:t xml:space="preserve">El juego y la expresión artística en la promoción de derechos.  El juego, la música y el arte como re-existencia. </w:t>
      </w:r>
    </w:p>
    <w:p w:rsidR="00E77B28" w:rsidRDefault="00142ED5">
      <w:pPr>
        <w:spacing w:before="240" w:after="240" w:line="240" w:lineRule="auto"/>
      </w:pPr>
      <w:r>
        <w:t>Las sexualidades, la educación sexual como derecho, las disidencias y el trabajo en los territorios y las políticas públicas desde la perspec</w:t>
      </w:r>
      <w:r>
        <w:t>tiva feminista y de derechos.</w:t>
      </w:r>
    </w:p>
    <w:p w:rsidR="00E77B28" w:rsidRDefault="00142ED5">
      <w:pPr>
        <w:spacing w:before="240" w:after="240" w:line="240" w:lineRule="auto"/>
      </w:pPr>
      <w:r>
        <w:t>El lugar de lxs adultxs en el trabajo con niñes y jóvenes. Pedagogía de la Presencia y de la Ternura. Las relaciones intergeneracionales en la intervención: dominación y diálogo.</w:t>
      </w:r>
    </w:p>
    <w:p w:rsidR="00E77B28" w:rsidRDefault="00E77B28">
      <w:pPr>
        <w:spacing w:before="240" w:after="240" w:line="240" w:lineRule="auto"/>
      </w:pPr>
    </w:p>
    <w:p w:rsidR="00E77B28" w:rsidRDefault="00142ED5">
      <w:pPr>
        <w:numPr>
          <w:ilvl w:val="0"/>
          <w:numId w:val="1"/>
        </w:numPr>
        <w:spacing w:before="300" w:after="160" w:line="240" w:lineRule="auto"/>
        <w:ind w:right="-220"/>
        <w:rPr>
          <w:color w:val="000000"/>
        </w:rPr>
      </w:pPr>
      <w:r>
        <w:t>Metodología de trabajo (En el caso de los curs</w:t>
      </w:r>
      <w:r>
        <w:t>os y seminarios y en función de la experiencia del año pasado, sugerimos incorporar al menos 1 encuentro virtual sincrónico por cada unidad temática del programa)</w:t>
      </w:r>
    </w:p>
    <w:p w:rsidR="00E77B28" w:rsidRDefault="00142ED5">
      <w:pPr>
        <w:spacing w:before="300" w:after="160" w:line="240" w:lineRule="auto"/>
        <w:ind w:left="720" w:right="-220"/>
      </w:pPr>
      <w:r>
        <w:t>La metodología que proponemos será 100% virtual con una modalidad mixta de encuentros sincrón</w:t>
      </w:r>
      <w:r>
        <w:t>icos y actividades asincrónicas. La intención es que quienes deseen participar tengan la posibilidad de reflexionar en torno a los disparadores de las clases, y la lectura de textos o actividades propuestas en el aula virtual. Por eso, hemos pensado 4 encu</w:t>
      </w:r>
      <w:r>
        <w:t>entros via meet y actividades en el espacio virtual, con propuestas vivenciales y de reflexión teórico-prácticas.</w:t>
      </w:r>
    </w:p>
    <w:p w:rsidR="00E77B28" w:rsidRDefault="00142ED5">
      <w:pPr>
        <w:numPr>
          <w:ilvl w:val="0"/>
          <w:numId w:val="1"/>
        </w:numPr>
        <w:spacing w:before="300" w:after="160" w:line="240" w:lineRule="auto"/>
        <w:ind w:right="-220"/>
        <w:rPr>
          <w:color w:val="000000"/>
        </w:rPr>
      </w:pPr>
      <w:r>
        <w:lastRenderedPageBreak/>
        <w:t>Modalidad de evaluación (Sólo para el caso de cursos o seminarios, las jornadas y conversatorios sólo acreditarán asistencia)</w:t>
      </w:r>
    </w:p>
    <w:p w:rsidR="00E77B28" w:rsidRDefault="00142ED5">
      <w:pPr>
        <w:spacing w:before="300" w:after="160" w:line="240" w:lineRule="auto"/>
        <w:ind w:left="720" w:right="-220"/>
      </w:pPr>
      <w:r>
        <w:t>Se propone a qui</w:t>
      </w:r>
      <w:r>
        <w:t>enes opten por la evaluación realizar un proyecto de intervención profesional, o una reflexión en torno a un tema de su interés o procesos de intervención, siempre integrando los contenidos trabajados en el curso.</w:t>
      </w:r>
    </w:p>
    <w:p w:rsidR="00E77B28" w:rsidRDefault="00142ED5">
      <w:pPr>
        <w:spacing w:before="300" w:after="160" w:line="240" w:lineRule="auto"/>
        <w:ind w:left="720" w:right="-220"/>
      </w:pPr>
      <w:r>
        <w:t>Esta tendrá una caracterización de lxs niñ</w:t>
      </w:r>
      <w:r>
        <w:t>xs en el territorio donde trabaje, recuperación de sus voces, identificación de nuevas preguntas o nudos a transformar en el abordaje profesional y diseño de nueva propuesta desde la perspectiva de la participación protagónica , enfoque de derechos y géner</w:t>
      </w:r>
      <w:r>
        <w:t>o</w:t>
      </w:r>
    </w:p>
    <w:p w:rsidR="00E77B28" w:rsidRDefault="00142ED5">
      <w:pPr>
        <w:numPr>
          <w:ilvl w:val="0"/>
          <w:numId w:val="1"/>
        </w:numPr>
        <w:spacing w:before="300" w:after="160" w:line="240" w:lineRule="auto"/>
        <w:ind w:right="-220"/>
        <w:rPr>
          <w:color w:val="000000"/>
        </w:rPr>
      </w:pPr>
      <w:r>
        <w:t>Cronograma</w:t>
      </w:r>
    </w:p>
    <w:p w:rsidR="00E77B28" w:rsidRDefault="00142ED5">
      <w:pPr>
        <w:spacing w:before="300" w:after="160" w:line="240" w:lineRule="auto"/>
        <w:ind w:left="720" w:right="-220"/>
        <w:rPr>
          <w:highlight w:val="white"/>
        </w:rPr>
      </w:pPr>
      <w:r>
        <w:rPr>
          <w:highlight w:val="white"/>
        </w:rPr>
        <w:t>Curso propuesto para el mes de junio, 4 viernes continuados de 2 hs cada uno de trabajo sincrónico. Más actividades asincrónicas a realizar entre junio y agosto. Fecha de presentación de trabajo final de integración: 15 de agosto.</w:t>
      </w:r>
    </w:p>
    <w:p w:rsidR="00E77B28" w:rsidRDefault="00142ED5">
      <w:pPr>
        <w:spacing w:before="240" w:after="240" w:line="240" w:lineRule="auto"/>
        <w:rPr>
          <w:highlight w:val="white"/>
        </w:rPr>
      </w:pPr>
      <w:r>
        <w:rPr>
          <w:highlight w:val="white"/>
        </w:rPr>
        <w:t xml:space="preserve">1 encuentro </w:t>
      </w:r>
      <w:r>
        <w:rPr>
          <w:highlight w:val="white"/>
        </w:rPr>
        <w:t>MEET: Breve mirada sobre los paradigmas y reflexiones sobre niñeces y juventudes en diferentes contextos.</w:t>
      </w:r>
    </w:p>
    <w:p w:rsidR="00E77B28" w:rsidRDefault="00142ED5">
      <w:pPr>
        <w:spacing w:before="240" w:after="240" w:line="240" w:lineRule="auto"/>
        <w:rPr>
          <w:highlight w:val="white"/>
        </w:rPr>
      </w:pPr>
      <w:r>
        <w:rPr>
          <w:highlight w:val="white"/>
        </w:rPr>
        <w:t>Espacio asincrónico: Ser niñes y jóvenes hoy en los sectores populares (miradas sobre la pandemia y la vida cotidana de niñes y jóvenes). Introducción</w:t>
      </w:r>
      <w:r>
        <w:rPr>
          <w:highlight w:val="white"/>
        </w:rPr>
        <w:t xml:space="preserve"> a las estrategias.</w:t>
      </w:r>
    </w:p>
    <w:p w:rsidR="00E77B28" w:rsidRDefault="00142ED5">
      <w:pPr>
        <w:spacing w:before="240" w:after="240" w:line="240" w:lineRule="auto"/>
        <w:rPr>
          <w:highlight w:val="white"/>
        </w:rPr>
      </w:pPr>
      <w:r>
        <w:rPr>
          <w:highlight w:val="white"/>
        </w:rPr>
        <w:t>2 encuentro MEET: paradigmas en el trabajo con niñes y jóvenes. Las perspectivas decoloniales y feministas para recuperar y crear otras formas de vivir. El protagonismo colectivo y organizado de niñes y jóvenes</w:t>
      </w:r>
    </w:p>
    <w:p w:rsidR="00E77B28" w:rsidRDefault="00142ED5">
      <w:pPr>
        <w:spacing w:before="240" w:after="240" w:line="240" w:lineRule="auto"/>
        <w:rPr>
          <w:highlight w:val="white"/>
        </w:rPr>
      </w:pPr>
      <w:r>
        <w:t xml:space="preserve">Espacio asincrónico: </w:t>
      </w:r>
      <w:r>
        <w:rPr>
          <w:highlight w:val="white"/>
        </w:rPr>
        <w:t>Sist</w:t>
      </w:r>
      <w:r>
        <w:rPr>
          <w:highlight w:val="white"/>
        </w:rPr>
        <w:t xml:space="preserve">ema de protección integral. Enfoque de derechos. Perspectivas movimientistas. Introducción a las estrategias. Razones para intervenir. Momentos Espacios. Procesos. </w:t>
      </w:r>
    </w:p>
    <w:p w:rsidR="00E77B28" w:rsidRDefault="00142ED5">
      <w:pPr>
        <w:spacing w:before="240" w:after="240" w:line="240" w:lineRule="auto"/>
      </w:pPr>
      <w:r>
        <w:rPr>
          <w:highlight w:val="white"/>
        </w:rPr>
        <w:t>3 encuentro MEET: Estrategias de intervención territoriales desde la participación protagón</w:t>
      </w:r>
      <w:r>
        <w:rPr>
          <w:highlight w:val="white"/>
        </w:rPr>
        <w:t>ica. Pedagogía de la Presencia y de la Ternura. Las relaciones intergeneracionales en la intervención: dominación y diálogo o metodologías para escuchar y recuperar voces de niñes y jóvenes. Miradas desde la investigaciones académicas.</w:t>
      </w:r>
    </w:p>
    <w:p w:rsidR="00E77B28" w:rsidRDefault="00142ED5">
      <w:pPr>
        <w:spacing w:before="240" w:after="240" w:line="240" w:lineRule="auto"/>
      </w:pPr>
      <w:r>
        <w:rPr>
          <w:highlight w:val="white"/>
        </w:rPr>
        <w:t>Espacio Asincrónico:</w:t>
      </w:r>
      <w:r>
        <w:rPr>
          <w:highlight w:val="white"/>
        </w:rPr>
        <w:t xml:space="preserve"> </w:t>
      </w:r>
      <w:r>
        <w:t xml:space="preserve">Las sexualidades, la educación sexual como derecho, las disidencias y el trabajo en los territorios y las políticas de </w:t>
      </w:r>
      <w:r>
        <w:rPr>
          <w:b/>
        </w:rPr>
        <w:t>salud</w:t>
      </w:r>
      <w:r>
        <w:t xml:space="preserve"> desde la perspectiva feminista y de derechos.</w:t>
      </w:r>
    </w:p>
    <w:p w:rsidR="00E77B28" w:rsidRDefault="00142ED5">
      <w:pPr>
        <w:spacing w:before="240" w:after="240" w:line="240" w:lineRule="auto"/>
        <w:rPr>
          <w:highlight w:val="white"/>
        </w:rPr>
      </w:pPr>
      <w:r>
        <w:rPr>
          <w:highlight w:val="white"/>
        </w:rPr>
        <w:t xml:space="preserve">4 encuentro MEET: Juego- Arte-.Territorios- Espacios de expresión . Cartografía. El </w:t>
      </w:r>
      <w:r>
        <w:rPr>
          <w:highlight w:val="white"/>
        </w:rPr>
        <w:t>juego y la expresión artística en la promoción de derechos. El juego y el arte como re-existencia. La organización juvenil en las escuelas. Centros de estudiantes. Escuela y participación.</w:t>
      </w:r>
    </w:p>
    <w:p w:rsidR="00E77B28" w:rsidRDefault="00142ED5">
      <w:pPr>
        <w:spacing w:before="240" w:after="240" w:line="240" w:lineRule="auto"/>
      </w:pPr>
      <w:r>
        <w:rPr>
          <w:highlight w:val="white"/>
        </w:rPr>
        <w:t xml:space="preserve">Espacio Asincrónico: </w:t>
      </w:r>
      <w:r>
        <w:t>Relatos de experiencias. Análisis de situacion</w:t>
      </w:r>
      <w:r>
        <w:t xml:space="preserve">es interrogantes y estrategias. </w:t>
      </w:r>
    </w:p>
    <w:p w:rsidR="00E77B28" w:rsidRDefault="00142ED5">
      <w:pPr>
        <w:spacing w:before="240" w:after="240" w:line="240" w:lineRule="auto"/>
      </w:pPr>
      <w:r>
        <w:t>La participación de niñes y jóvenes en el ámbito judicial: algunas experiencias en torno a la ley provincial de Abogade de Niñes.</w:t>
      </w:r>
    </w:p>
    <w:p w:rsidR="00E77B28" w:rsidRDefault="00142ED5">
      <w:pPr>
        <w:spacing w:before="240" w:after="240" w:line="240" w:lineRule="auto"/>
      </w:pPr>
      <w:r>
        <w:t xml:space="preserve"> </w:t>
      </w:r>
    </w:p>
    <w:p w:rsidR="00E77B28" w:rsidRDefault="00142ED5">
      <w:pPr>
        <w:numPr>
          <w:ilvl w:val="0"/>
          <w:numId w:val="1"/>
        </w:numPr>
        <w:spacing w:before="300" w:after="160" w:line="240" w:lineRule="auto"/>
        <w:ind w:right="-220"/>
        <w:rPr>
          <w:color w:val="000000"/>
        </w:rPr>
      </w:pPr>
      <w:r>
        <w:t>Bibliografía</w:t>
      </w:r>
    </w:p>
    <w:p w:rsidR="00E77B28" w:rsidRDefault="00142ED5">
      <w:pPr>
        <w:spacing w:before="240" w:after="240" w:line="240" w:lineRule="auto"/>
      </w:pPr>
      <w:r>
        <w:lastRenderedPageBreak/>
        <w:t>Unidad 1:</w:t>
      </w:r>
    </w:p>
    <w:p w:rsidR="00E77B28" w:rsidRDefault="00142ED5">
      <w:pPr>
        <w:spacing w:before="240" w:after="240" w:line="240" w:lineRule="auto"/>
      </w:pPr>
      <w:r>
        <w:t>Cussiánovich, A. (2018). Capítulo: Aportes desde los movimientos soc</w:t>
      </w:r>
      <w:r>
        <w:t>iales de niñxs y adolescentes trabajadores a la teoría y práctica emancipatoria con niñez. En el libro: Niñez en movimiento, del adultocentrismo a la emancipación. Morales, S. y Magistris G. (comp.). Buenos Aires: Chirimbote, Ternura Rebelde y Editorial El</w:t>
      </w:r>
      <w:r>
        <w:t xml:space="preserve"> Colectivo.</w:t>
      </w:r>
    </w:p>
    <w:p w:rsidR="00E77B28" w:rsidRDefault="00142ED5">
      <w:pPr>
        <w:spacing w:before="240" w:after="240" w:line="240" w:lineRule="auto"/>
      </w:pPr>
      <w:r>
        <w:t>Liebel Manfred (2016). ¿Niños sin Niñez? Contra la conquista poscolonial de las infancias del Sur global. MILLCAYAC - Revista Digital de Ciencias Sociales / Vol. III / N° 5 / 2016. ISSN: 2362-616x. (pp. 245-272) Centro de Publicaciones. FCPyS. UNCuyo. Desc</w:t>
      </w:r>
      <w:r>
        <w:t>argado de: http://revistas.uncu.edu.ar/ojs/index.php/millca-digital/article/view/770/0</w:t>
      </w:r>
    </w:p>
    <w:p w:rsidR="00E77B28" w:rsidRDefault="00142ED5">
      <w:pPr>
        <w:spacing w:before="240" w:after="240" w:line="240" w:lineRule="auto"/>
      </w:pPr>
      <w:r>
        <w:t>Material complementario:</w:t>
      </w:r>
    </w:p>
    <w:p w:rsidR="00E77B28" w:rsidRDefault="00142ED5">
      <w:pPr>
        <w:spacing w:before="240" w:after="240" w:line="240" w:lineRule="auto"/>
      </w:pPr>
      <w:r>
        <w:t>Piotti, María Lidia (2018). Primera Parte: Paradigmas, teorías y políticas sobre niños, niñas y adolescentes (pág. 15-80), del libro Protagonism</w:t>
      </w:r>
      <w:r>
        <w:t>o Infantil y Trabajo Social. Mendoza: Universidad Nacional de Cuyo.</w:t>
      </w:r>
    </w:p>
    <w:p w:rsidR="00E77B28" w:rsidRDefault="00142ED5">
      <w:pPr>
        <w:spacing w:before="240" w:after="240" w:line="240" w:lineRule="auto"/>
      </w:pPr>
      <w:r>
        <w:t>Duarte Quapper, Klaudio (Julio 2012). Sociedades adultocéntricas: sobre sus orígenes y reproducción. Valparaíso, Chile. Revista ULTIMA DÉCADA Nº36, CIDPA (PP. 99-125).https://scielo.conicy</w:t>
      </w:r>
      <w:r>
        <w:t>t.cl/pdf/udecada/v20n36/art05.pdf</w:t>
      </w:r>
    </w:p>
    <w:p w:rsidR="00E77B28" w:rsidRDefault="00142ED5">
      <w:pPr>
        <w:spacing w:before="240" w:after="240" w:line="240" w:lineRule="auto"/>
      </w:pPr>
      <w:r>
        <w:t xml:space="preserve"> </w:t>
      </w:r>
    </w:p>
    <w:p w:rsidR="00E77B28" w:rsidRDefault="00142ED5">
      <w:pPr>
        <w:spacing w:before="240" w:after="240" w:line="240" w:lineRule="auto"/>
      </w:pPr>
      <w:r>
        <w:t>Unidad 2:</w:t>
      </w:r>
    </w:p>
    <w:p w:rsidR="00E77B28" w:rsidRDefault="00142ED5">
      <w:pPr>
        <w:spacing w:before="240" w:after="240" w:line="240" w:lineRule="auto"/>
      </w:pPr>
      <w:r>
        <w:t>(2017) Cuadernillo N° 3 SPI – Introducción al Sistema de Protección de Derechos. Colección Desafíos. Ministerio de Desarrollo Social de la Nación y Facultad de Trabajo Social, UNER.</w:t>
      </w:r>
    </w:p>
    <w:p w:rsidR="00E77B28" w:rsidRDefault="00142ED5">
      <w:pPr>
        <w:spacing w:before="240" w:after="240" w:line="240" w:lineRule="auto"/>
      </w:pPr>
      <w:r>
        <w:t>- Convención Internacional p</w:t>
      </w:r>
      <w:r>
        <w:t>or los Derechos del Niño (1989). Observación General Nº 12. El derecho del niño a ser escuchado. Comité de los Derechos del niño. ONU. Ginebra, 2009</w:t>
      </w:r>
    </w:p>
    <w:p w:rsidR="00E77B28" w:rsidRDefault="00142ED5">
      <w:pPr>
        <w:spacing w:before="240" w:after="240" w:line="240" w:lineRule="auto"/>
      </w:pPr>
      <w:r>
        <w:t xml:space="preserve"> Material complementario</w:t>
      </w:r>
    </w:p>
    <w:p w:rsidR="00E77B28" w:rsidRDefault="00142ED5">
      <w:pPr>
        <w:spacing w:before="240" w:after="240" w:line="240" w:lineRule="auto"/>
      </w:pPr>
      <w:r>
        <w:t>De Souza Santos Boaventura (2014) Derechos humanos, democracia y desarrollo. Capít</w:t>
      </w:r>
      <w:r>
        <w:t>ulo 1: Derechos humanos: espejismos y desafíos. Centro de Estudios de Derecho, Justicia y Sociedad. 1era edición. Bogotá, Colombia.  https://estudogeral.sib.uc.pt/bitstream/10316/44174/1/Derechos%20humanos%20democracia%20y%20desarrollo.pdf</w:t>
      </w:r>
    </w:p>
    <w:p w:rsidR="00E77B28" w:rsidRDefault="00142ED5">
      <w:pPr>
        <w:spacing w:before="240" w:after="240" w:line="240" w:lineRule="auto"/>
      </w:pPr>
      <w:r>
        <w:t>Pautassi Laura (</w:t>
      </w:r>
      <w:r>
        <w:t>2012). Cap. 1: Enfoque de derechos y políticas sociales. Interrelaciones necesarias. En el libro: Sistemas de Protección Integral de los Derechos de Niños, Niñas y Adolescentes. Recorridos y perspectivas desde el Estado y la Sociedad Civil. María Eugenia D</w:t>
      </w:r>
      <w:r>
        <w:t>anieli y Mariela del Valle Messi (comp.). Universidad Nacional de Córdoba. E-Book. ISBN 978-950-33-1019-9</w:t>
      </w:r>
    </w:p>
    <w:p w:rsidR="00E77B28" w:rsidRDefault="00E77B28">
      <w:pPr>
        <w:spacing w:before="240" w:after="240" w:line="240" w:lineRule="auto"/>
      </w:pPr>
    </w:p>
    <w:p w:rsidR="00E77B28" w:rsidRDefault="00142ED5">
      <w:pPr>
        <w:spacing w:before="240" w:after="240" w:line="240" w:lineRule="auto"/>
      </w:pPr>
      <w:r>
        <w:t>Unidad 3:</w:t>
      </w:r>
    </w:p>
    <w:p w:rsidR="00E77B28" w:rsidRDefault="00142ED5">
      <w:pPr>
        <w:spacing w:before="240" w:after="240" w:line="240" w:lineRule="auto"/>
      </w:pPr>
      <w:r>
        <w:t>Piotti, María Lidia (2018). Segunda Parte: Estrategias de intervención con la niñez y la juventud y experiencias sistematizadas (pag. 81-148), del libro Protagonismo Infantil y Trabajo Social. Mendoza: Universidad Nacional de Cuyo.</w:t>
      </w:r>
    </w:p>
    <w:p w:rsidR="00E77B28" w:rsidRDefault="00142ED5">
      <w:pPr>
        <w:spacing w:before="240" w:after="240" w:line="240" w:lineRule="auto"/>
      </w:pPr>
      <w:r>
        <w:lastRenderedPageBreak/>
        <w:t xml:space="preserve">Arrausi Lidia y Guardia </w:t>
      </w:r>
      <w:r>
        <w:t>Virginia (2016). COLECCIÓN DESAFÍOS Cuadernillo Nº1: LOS ESPACIOS LÚDICOS COMO LUGARES DE PROMOCIÓN DE DERECHOS -Secretaría Nacional de Niñez, Adolescencia y Familia del Ministerio de Desarrollo Social de la Nación y Facultad de Trabajo Social de la Univer</w:t>
      </w:r>
      <w:r>
        <w:t>sidad Nacional de Entre Ríos http://www.desarrollosocial.gob.ar/biblioteca/los-espacios-ludicos-lugares-promocion-derechos/</w:t>
      </w:r>
    </w:p>
    <w:p w:rsidR="00E77B28" w:rsidRDefault="00142ED5">
      <w:pPr>
        <w:spacing w:before="240" w:after="240" w:line="240" w:lineRule="auto"/>
      </w:pPr>
      <w:r>
        <w:t>Observación General N° 17. El derecho del niño al descanso, el esparcimiento, el juego, las actividades recreativas, la vida cultura</w:t>
      </w:r>
      <w:r>
        <w:t>l y las  artes.  Comité de los Derechos del niño. ONU. Ginebra, 2013</w:t>
      </w:r>
    </w:p>
    <w:p w:rsidR="00E77B28" w:rsidRDefault="00142ED5">
      <w:pPr>
        <w:spacing w:before="240" w:after="240" w:line="240" w:lineRule="auto"/>
      </w:pPr>
      <w:r>
        <w:t>Merchán Cecilia y Fink Nadia (2018) Infancias Libres - talleres y actividades para educación en géneros. Buenos Aires, Editorial Chirimbote y Las Juanas Editoras</w:t>
      </w:r>
    </w:p>
    <w:p w:rsidR="00E77B28" w:rsidRDefault="00142ED5">
      <w:pPr>
        <w:spacing w:before="240" w:after="240" w:line="240" w:lineRule="auto"/>
      </w:pPr>
      <w:r>
        <w:t>Gomes Da Costa Antonio (2</w:t>
      </w:r>
      <w:r>
        <w:t>004). Pedagogía de la presencia. Capítulo 1, 2, 3, 5 y 10. Editorial Losada /UNICEF. Buenos Aires. pag 27 a la 44, y 61 a la 65.</w:t>
      </w:r>
    </w:p>
    <w:p w:rsidR="00E77B28" w:rsidRDefault="00142ED5">
      <w:pPr>
        <w:spacing w:before="240" w:after="240" w:line="240" w:lineRule="auto"/>
      </w:pPr>
      <w:r>
        <w:t>Cussianovich Alejandro (2005) Educando desde una Pedagogía de la Ternura. Perú: Ifejant. disponible en https://www.insumisos.co</w:t>
      </w:r>
      <w:r>
        <w:t>m/lecturasinsumisas/Pedagogia%20de%20la%20ternura.pdf</w:t>
      </w:r>
    </w:p>
    <w:p w:rsidR="00E77B28" w:rsidRDefault="00E77B28">
      <w:pPr>
        <w:spacing w:before="240" w:after="240" w:line="240" w:lineRule="auto"/>
      </w:pPr>
    </w:p>
    <w:p w:rsidR="00E77B28" w:rsidRDefault="00142ED5">
      <w:pPr>
        <w:spacing w:before="240" w:after="240" w:line="240" w:lineRule="auto"/>
      </w:pPr>
      <w:r>
        <w:t>DOSSIER de lectura obligatoria: MARCO LEGAL QUE REGULA EL SISTEMA DE PROTECCIÓN INTEGRAL DE LA INFANCIA</w:t>
      </w:r>
    </w:p>
    <w:p w:rsidR="00E77B28" w:rsidRDefault="00142ED5">
      <w:pPr>
        <w:spacing w:before="240" w:after="240" w:line="240" w:lineRule="auto"/>
      </w:pPr>
      <w:r>
        <w:t>- Ley Nacional Nº 23.849 (Adhesión a la CDN)</w:t>
      </w:r>
    </w:p>
    <w:p w:rsidR="00E77B28" w:rsidRDefault="00142ED5">
      <w:pPr>
        <w:spacing w:before="240" w:after="240" w:line="240" w:lineRule="auto"/>
      </w:pPr>
      <w:r>
        <w:t xml:space="preserve">- Ley Nacional Nº 26.061 (de Protección Integral de </w:t>
      </w:r>
      <w:r>
        <w:t>Derechos de Niños, Niñas y Adolescentes)</w:t>
      </w:r>
    </w:p>
    <w:p w:rsidR="00E77B28" w:rsidRDefault="00142ED5">
      <w:pPr>
        <w:spacing w:before="240" w:after="240" w:line="240" w:lineRule="auto"/>
      </w:pPr>
      <w:r>
        <w:t>- Leyes Provinciales 9944, 10636 y 10637 (de Protección de Derechos de Niños, Niñas y Adolescentes y creación de la figura de Abogado del Niño)</w:t>
      </w:r>
    </w:p>
    <w:p w:rsidR="00E77B28" w:rsidRDefault="00142ED5">
      <w:pPr>
        <w:spacing w:before="240" w:after="240" w:line="240" w:lineRule="auto"/>
      </w:pPr>
      <w:r>
        <w:t>- Ley nacional de educación sexual integral 26150.</w:t>
      </w:r>
    </w:p>
    <w:p w:rsidR="00E77B28" w:rsidRDefault="00142ED5">
      <w:pPr>
        <w:spacing w:before="300" w:after="160" w:line="240" w:lineRule="auto"/>
        <w:ind w:right="-220"/>
        <w:rPr>
          <w:highlight w:val="yellow"/>
        </w:rPr>
      </w:pPr>
      <w:r>
        <w:rPr>
          <w:highlight w:val="yellow"/>
        </w:rPr>
        <w:t xml:space="preserve"> </w:t>
      </w:r>
    </w:p>
    <w:p w:rsidR="00E77B28" w:rsidRDefault="00E77B28">
      <w:pPr>
        <w:spacing w:line="240" w:lineRule="auto"/>
      </w:pPr>
    </w:p>
    <w:sectPr w:rsidR="00E77B2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ED5" w:rsidRDefault="00142ED5">
      <w:pPr>
        <w:spacing w:line="240" w:lineRule="auto"/>
      </w:pPr>
      <w:r>
        <w:separator/>
      </w:r>
    </w:p>
  </w:endnote>
  <w:endnote w:type="continuationSeparator" w:id="0">
    <w:p w:rsidR="00142ED5" w:rsidRDefault="00142E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ED5" w:rsidRDefault="00142ED5">
      <w:pPr>
        <w:spacing w:line="240" w:lineRule="auto"/>
      </w:pPr>
      <w:r>
        <w:separator/>
      </w:r>
    </w:p>
  </w:footnote>
  <w:footnote w:type="continuationSeparator" w:id="0">
    <w:p w:rsidR="00142ED5" w:rsidRDefault="00142ED5">
      <w:pPr>
        <w:spacing w:line="240" w:lineRule="auto"/>
      </w:pPr>
      <w:r>
        <w:continuationSeparator/>
      </w:r>
    </w:p>
  </w:footnote>
  <w:footnote w:id="1">
    <w:p w:rsidR="00E77B28" w:rsidRDefault="00142ED5">
      <w:pPr>
        <w:spacing w:line="240" w:lineRule="auto"/>
        <w:rPr>
          <w:sz w:val="20"/>
          <w:szCs w:val="20"/>
        </w:rPr>
      </w:pPr>
      <w:r>
        <w:rPr>
          <w:vertAlign w:val="superscript"/>
        </w:rPr>
        <w:footnoteRef/>
      </w:r>
      <w:r>
        <w:rPr>
          <w:sz w:val="20"/>
          <w:szCs w:val="20"/>
        </w:rPr>
        <w:t xml:space="preserve"> Además de esta ley, otras fueron marcando un camino de reconocimientos pero fundamentalmente de cambios en las prácticas sociales, culturales, educativas, profesionales, jurídicas. Algunas de estas - sin pretensión de exhaustividad - son la 26150 de Educa</w:t>
      </w:r>
      <w:r>
        <w:rPr>
          <w:sz w:val="20"/>
          <w:szCs w:val="20"/>
        </w:rPr>
        <w:t>ción Sexual Integral, ley 25929 de Parto y Nacimiento respetado, ley 26743 de Identidad de Género, ley 26485 de protección contra las violencias hacia las mujeres, entre muchas otras. En Córdoba, destacamos la sanción reciente de las leyes 10636 y 10637, p</w:t>
      </w:r>
      <w:r>
        <w:rPr>
          <w:sz w:val="20"/>
          <w:szCs w:val="20"/>
        </w:rPr>
        <w:t>or medio de las cuales se modifica el Sistema de Protección integral de derechos de niños, niñas y adolescentes y se crea la figura de Abogado del Niño.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6DA9"/>
    <w:multiLevelType w:val="multilevel"/>
    <w:tmpl w:val="9A66A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83225E"/>
    <w:multiLevelType w:val="multilevel"/>
    <w:tmpl w:val="4C027006"/>
    <w:lvl w:ilvl="0">
      <w:start w:val="1"/>
      <w:numFmt w:val="bullet"/>
      <w:lvlText w:val="●"/>
      <w:lvlJc w:val="left"/>
      <w:pPr>
        <w:ind w:left="720" w:hanging="360"/>
      </w:pPr>
      <w:rPr>
        <w:color w:val="33333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28"/>
    <w:rsid w:val="00142ED5"/>
    <w:rsid w:val="00D80C76"/>
    <w:rsid w:val="00E7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44B8"/>
  <w15:docId w15:val="{A842442F-8D0D-4D9A-A2DF-F959149B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2677</Words>
  <Characters>15265</Characters>
  <Application>Microsoft Office Word</Application>
  <DocSecurity>0</DocSecurity>
  <Lines>127</Lines>
  <Paragraphs>35</Paragraphs>
  <ScaleCrop>false</ScaleCrop>
  <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2021-07-05T13:32:00Z</dcterms:created>
  <dcterms:modified xsi:type="dcterms:W3CDTF">2021-07-05T13:34:00Z</dcterms:modified>
</cp:coreProperties>
</file>