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5.png" ContentType="image/png"/>
  <Override PartName="/word/media/image1.png" ContentType="image/png"/>
  <Override PartName="/word/media/image2.png" ContentType="image/png"/>
  <Override PartName="/word/media/image3.jpeg" ContentType="image/jpeg"/>
  <Override PartName="/word/media/image4.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Narrow" w:hAnsi="Arial Narrow"/>
          <w:b/>
          <w:b/>
          <w:sz w:val="24"/>
          <w:szCs w:val="24"/>
        </w:rPr>
      </w:pPr>
      <w:r>
        <w:rPr>
          <w:rFonts w:ascii="Arial Narrow" w:hAnsi="Arial Narrow"/>
          <w:b/>
          <w:sz w:val="24"/>
          <w:szCs w:val="24"/>
        </w:rPr>
        <w:t>XIV SEMINARIO INTERNACIONAL PROCOAS</w:t>
      </w:r>
    </w:p>
    <w:p>
      <w:pPr>
        <w:pStyle w:val="Normal"/>
        <w:spacing w:before="0" w:after="0"/>
        <w:jc w:val="center"/>
        <w:rPr>
          <w:rFonts w:ascii="Arial Narrow" w:hAnsi="Arial Narrow"/>
          <w:b/>
          <w:b/>
          <w:sz w:val="24"/>
          <w:szCs w:val="24"/>
        </w:rPr>
      </w:pPr>
      <w:r>
        <w:rPr>
          <w:rFonts w:ascii="Arial Narrow" w:hAnsi="Arial Narrow"/>
          <w:b/>
          <w:sz w:val="24"/>
          <w:szCs w:val="24"/>
        </w:rPr>
        <w:t>COMITÉ ACADÉMICO PROCESOS COOPERATIVOS Y ASOCIATIVOS</w:t>
      </w:r>
    </w:p>
    <w:p>
      <w:pPr>
        <w:pStyle w:val="Normal"/>
        <w:spacing w:before="0" w:after="0"/>
        <w:jc w:val="center"/>
        <w:rPr>
          <w:rFonts w:ascii="Arial Narrow" w:hAnsi="Arial Narrow"/>
          <w:b/>
          <w:b/>
          <w:sz w:val="24"/>
          <w:szCs w:val="24"/>
        </w:rPr>
      </w:pPr>
      <w:r>
        <w:rPr>
          <w:rFonts w:ascii="Arial Narrow" w:hAnsi="Arial Narrow"/>
          <w:b/>
          <w:sz w:val="24"/>
          <w:szCs w:val="24"/>
        </w:rPr>
        <w:t>ASOCIACIÓN DE UNIVERSIDADES DEL GRUPO MONTEVIDEO</w:t>
      </w:r>
    </w:p>
    <w:p>
      <w:pPr>
        <w:pStyle w:val="Normal"/>
        <w:spacing w:before="0" w:after="0"/>
        <w:jc w:val="center"/>
        <w:rPr>
          <w:rFonts w:ascii="Arial Narrow" w:hAnsi="Arial Narrow"/>
        </w:rPr>
      </w:pPr>
      <w:r>
        <w:rPr>
          <w:rFonts w:ascii="Arial Narrow" w:hAnsi="Arial Narrow"/>
        </w:rPr>
      </w:r>
    </w:p>
    <w:p>
      <w:pPr>
        <w:pStyle w:val="Normal"/>
        <w:spacing w:before="0" w:after="0"/>
        <w:jc w:val="center"/>
        <w:rPr>
          <w:rFonts w:ascii="Arial Narrow" w:hAnsi="Arial Narrow"/>
          <w:b/>
          <w:b/>
          <w:sz w:val="24"/>
          <w:szCs w:val="24"/>
        </w:rPr>
      </w:pPr>
      <w:r>
        <w:rPr>
          <w:rFonts w:ascii="Arial Narrow" w:hAnsi="Arial Narrow"/>
          <w:b/>
          <w:sz w:val="24"/>
          <w:szCs w:val="24"/>
        </w:rPr>
        <w:t>17, 18 y 19 de octubre de 2018</w:t>
      </w:r>
    </w:p>
    <w:p>
      <w:pPr>
        <w:pStyle w:val="Normal"/>
        <w:spacing w:before="0" w:after="0"/>
        <w:jc w:val="center"/>
        <w:rPr>
          <w:rFonts w:ascii="Arial Narrow" w:hAnsi="Arial Narrow"/>
          <w:b/>
          <w:b/>
          <w:sz w:val="24"/>
          <w:szCs w:val="24"/>
        </w:rPr>
      </w:pPr>
      <w:r>
        <w:rPr>
          <w:rFonts w:ascii="Arial Narrow" w:hAnsi="Arial Narrow"/>
          <w:b/>
          <w:sz w:val="24"/>
          <w:szCs w:val="24"/>
        </w:rPr>
        <w:t>Córdoba, Argentina</w:t>
      </w:r>
    </w:p>
    <w:p>
      <w:pPr>
        <w:pStyle w:val="Normal"/>
        <w:spacing w:before="0" w:after="0"/>
        <w:jc w:val="center"/>
        <w:rPr>
          <w:rFonts w:ascii="Arial Narrow" w:hAnsi="Arial Narrow"/>
          <w:b/>
          <w:b/>
          <w:sz w:val="24"/>
          <w:szCs w:val="24"/>
        </w:rPr>
      </w:pPr>
      <w:r>
        <w:rPr>
          <w:rFonts w:ascii="Arial Narrow" w:hAnsi="Arial Narrow"/>
          <w:b/>
          <w:sz w:val="24"/>
          <w:szCs w:val="24"/>
        </w:rPr>
        <w:t>Facultad de Ciencias Económicas - Universidad Nacional de Córdoba</w:t>
      </w:r>
    </w:p>
    <w:p>
      <w:pPr>
        <w:pStyle w:val="Normal"/>
        <w:spacing w:before="0" w:after="0"/>
        <w:jc w:val="center"/>
        <w:rPr>
          <w:rFonts w:ascii="Arial Narrow" w:hAnsi="Arial Narrow"/>
        </w:rPr>
      </w:pPr>
      <w:r>
        <w:rPr>
          <w:rFonts w:ascii="Arial Narrow" w:hAnsi="Arial Narrow"/>
        </w:rPr>
      </w:r>
    </w:p>
    <w:p>
      <w:pPr>
        <w:pStyle w:val="Normal"/>
        <w:jc w:val="center"/>
        <w:rPr>
          <w:rFonts w:ascii="Arial Narrow" w:hAnsi="Arial Narrow"/>
          <w:b/>
          <w:b/>
          <w:sz w:val="24"/>
          <w:szCs w:val="24"/>
        </w:rPr>
      </w:pPr>
      <w:r>
        <w:rPr>
          <w:rFonts w:ascii="Arial Narrow" w:hAnsi="Arial Narrow"/>
          <w:b/>
          <w:sz w:val="24"/>
          <w:szCs w:val="24"/>
        </w:rPr>
        <w:t>La universidad pública y la transición hacia otra economía. Debates y desafíos en el centenario de la Reforma Universitaria</w:t>
      </w:r>
    </w:p>
    <w:p>
      <w:pPr>
        <w:pStyle w:val="Normal"/>
        <w:jc w:val="center"/>
        <w:rPr>
          <w:rFonts w:ascii="Arial Narrow" w:hAnsi="Arial Narrow"/>
          <w:b/>
          <w:b/>
          <w:sz w:val="24"/>
          <w:szCs w:val="24"/>
        </w:rPr>
      </w:pPr>
      <w:r>
        <w:rPr>
          <w:rFonts w:ascii="Arial Narrow" w:hAnsi="Arial Narrow"/>
          <w:b/>
          <w:sz w:val="24"/>
          <w:szCs w:val="24"/>
        </w:rPr>
      </w:r>
    </w:p>
    <w:p>
      <w:pPr>
        <w:pStyle w:val="Normal"/>
        <w:jc w:val="center"/>
        <w:rPr>
          <w:rFonts w:ascii="Arial Narrow" w:hAnsi="Arial Narrow"/>
          <w:b/>
          <w:b/>
          <w:sz w:val="28"/>
          <w:szCs w:val="28"/>
        </w:rPr>
      </w:pPr>
      <w:r>
        <w:rPr>
          <w:rFonts w:ascii="Arial Narrow" w:hAnsi="Arial Narrow"/>
          <w:b/>
          <w:sz w:val="28"/>
          <w:szCs w:val="28"/>
        </w:rPr>
        <w:t>Actividad Co-organizada con la Facultad de Ciencias Sociales (UNC)</w:t>
      </w:r>
    </w:p>
    <w:p>
      <w:pPr>
        <w:pStyle w:val="Normal"/>
        <w:jc w:val="both"/>
        <w:rPr>
          <w:rFonts w:ascii="Arial Narrow" w:hAnsi="Arial Narrow"/>
        </w:rPr>
      </w:pPr>
      <w:r>
        <w:rPr>
          <w:rFonts w:ascii="Arial Narrow" w:hAnsi="Arial Narrow"/>
        </w:rPr>
      </w:r>
    </w:p>
    <w:p>
      <w:pPr>
        <w:pStyle w:val="Standard"/>
        <w:spacing w:lineRule="auto" w:line="360"/>
        <w:jc w:val="center"/>
        <w:rPr>
          <w:rFonts w:ascii="Arial Narrow" w:hAnsi="Arial Narrow"/>
          <w:b/>
          <w:b/>
          <w:sz w:val="36"/>
          <w:szCs w:val="36"/>
        </w:rPr>
      </w:pPr>
      <w:r>
        <w:rPr>
          <w:rFonts w:ascii="Arial Narrow" w:hAnsi="Arial Narrow"/>
          <w:b/>
          <w:sz w:val="36"/>
          <w:szCs w:val="36"/>
        </w:rPr>
        <w:t>MINI-CURSO</w:t>
      </w:r>
    </w:p>
    <w:p>
      <w:pPr>
        <w:pStyle w:val="Standard"/>
        <w:spacing w:lineRule="auto" w:line="276"/>
        <w:jc w:val="center"/>
        <w:rPr>
          <w:rFonts w:ascii="Arial Narrow" w:hAnsi="Arial Narrow"/>
          <w:b/>
          <w:b/>
          <w:sz w:val="36"/>
          <w:szCs w:val="36"/>
        </w:rPr>
      </w:pPr>
      <w:r>
        <w:rPr>
          <w:rFonts w:ascii="Arial Narrow" w:hAnsi="Arial Narrow"/>
          <w:b/>
          <w:sz w:val="36"/>
          <w:szCs w:val="36"/>
        </w:rPr>
        <w:t>Miradas sobre la producción de lo común</w:t>
      </w:r>
    </w:p>
    <w:p>
      <w:pPr>
        <w:pStyle w:val="Standard"/>
        <w:spacing w:lineRule="auto" w:line="360"/>
        <w:jc w:val="center"/>
        <w:rPr>
          <w:rFonts w:ascii="Arial Narrow" w:hAnsi="Arial Narrow"/>
          <w:sz w:val="36"/>
          <w:szCs w:val="36"/>
        </w:rPr>
      </w:pPr>
      <w:r>
        <w:rPr>
          <w:rFonts w:ascii="Arial Narrow" w:hAnsi="Arial Narrow"/>
          <w:b/>
          <w:sz w:val="36"/>
          <w:szCs w:val="36"/>
        </w:rPr>
        <w:t>desde la Economía solidaria</w:t>
      </w:r>
    </w:p>
    <w:p>
      <w:pPr>
        <w:pStyle w:val="Standard"/>
        <w:spacing w:lineRule="auto" w:line="360"/>
        <w:jc w:val="both"/>
        <w:rPr>
          <w:rFonts w:ascii="Arial Narrow" w:hAnsi="Arial Narrow"/>
          <w:sz w:val="22"/>
          <w:szCs w:val="22"/>
        </w:rPr>
      </w:pPr>
      <w:r>
        <w:rPr>
          <w:rFonts w:ascii="Arial Narrow" w:hAnsi="Arial Narrow"/>
          <w:sz w:val="22"/>
          <w:szCs w:val="22"/>
        </w:rPr>
      </w:r>
    </w:p>
    <w:p>
      <w:pPr>
        <w:pStyle w:val="Standard"/>
        <w:spacing w:lineRule="auto" w:line="360"/>
        <w:jc w:val="both"/>
        <w:rPr>
          <w:rFonts w:ascii="Arial Narrow" w:hAnsi="Arial Narrow"/>
          <w:sz w:val="22"/>
          <w:szCs w:val="22"/>
        </w:rPr>
      </w:pPr>
      <w:r>
        <w:rPr>
          <w:rFonts w:ascii="Arial Narrow" w:hAnsi="Arial Narrow"/>
          <w:sz w:val="22"/>
          <w:szCs w:val="22"/>
        </w:rPr>
        <w:t>Fechas: 17 y 18 de octubre</w:t>
      </w:r>
    </w:p>
    <w:p>
      <w:pPr>
        <w:pStyle w:val="Standard"/>
        <w:spacing w:lineRule="auto" w:line="360"/>
        <w:jc w:val="both"/>
        <w:rPr>
          <w:rFonts w:ascii="Arial Narrow" w:hAnsi="Arial Narrow"/>
          <w:sz w:val="22"/>
          <w:szCs w:val="22"/>
        </w:rPr>
      </w:pPr>
      <w:r>
        <w:rPr>
          <w:rFonts w:ascii="Arial Narrow" w:hAnsi="Arial Narrow"/>
          <w:sz w:val="22"/>
          <w:szCs w:val="22"/>
        </w:rPr>
        <w:t>Horario: 14 hs a 16 hs</w:t>
      </w:r>
    </w:p>
    <w:p>
      <w:pPr>
        <w:pStyle w:val="Standard"/>
        <w:spacing w:lineRule="auto" w:line="360"/>
        <w:jc w:val="both"/>
        <w:rPr>
          <w:rFonts w:ascii="Arial Narrow" w:hAnsi="Arial Narrow"/>
          <w:b/>
          <w:b/>
          <w:bCs/>
          <w:sz w:val="22"/>
          <w:szCs w:val="22"/>
        </w:rPr>
      </w:pPr>
      <w:r>
        <w:rPr>
          <w:rFonts w:ascii="Arial Narrow" w:hAnsi="Arial Narrow"/>
          <w:b/>
          <w:bCs/>
          <w:sz w:val="22"/>
          <w:szCs w:val="22"/>
        </w:rPr>
      </w:r>
    </w:p>
    <w:p>
      <w:pPr>
        <w:pStyle w:val="Standard"/>
        <w:spacing w:lineRule="auto" w:line="360"/>
        <w:jc w:val="both"/>
        <w:rPr>
          <w:rFonts w:ascii="Arial Narrow" w:hAnsi="Arial Narrow"/>
          <w:b/>
          <w:b/>
          <w:bCs/>
          <w:sz w:val="22"/>
          <w:szCs w:val="22"/>
        </w:rPr>
      </w:pPr>
      <w:r>
        <w:rPr>
          <w:rFonts w:ascii="Arial Narrow" w:hAnsi="Arial Narrow"/>
          <w:b/>
          <w:bCs/>
          <w:sz w:val="22"/>
          <w:szCs w:val="22"/>
        </w:rPr>
        <w:t>Docentes:</w:t>
      </w:r>
    </w:p>
    <w:p>
      <w:pPr>
        <w:pStyle w:val="Standard"/>
        <w:spacing w:lineRule="auto" w:line="360"/>
        <w:jc w:val="both"/>
        <w:rPr>
          <w:rFonts w:ascii="Arial Narrow" w:hAnsi="Arial Narrow"/>
          <w:sz w:val="22"/>
          <w:szCs w:val="22"/>
        </w:rPr>
      </w:pPr>
      <w:r>
        <w:rPr>
          <w:rFonts w:ascii="Arial Narrow" w:hAnsi="Arial Narrow"/>
          <w:sz w:val="22"/>
          <w:szCs w:val="22"/>
        </w:rPr>
        <w:t>Prof. Adj. Gerardo Sarachu (SCEAM-UDELAR)</w:t>
      </w:r>
    </w:p>
    <w:p>
      <w:pPr>
        <w:pStyle w:val="Standard"/>
        <w:spacing w:lineRule="auto" w:line="360"/>
        <w:jc w:val="both"/>
        <w:rPr>
          <w:rFonts w:ascii="Arial Narrow" w:hAnsi="Arial Narrow"/>
          <w:sz w:val="22"/>
          <w:szCs w:val="22"/>
        </w:rPr>
      </w:pPr>
      <w:r>
        <w:rPr>
          <w:rFonts w:ascii="Arial Narrow" w:hAnsi="Arial Narrow"/>
          <w:sz w:val="22"/>
          <w:szCs w:val="22"/>
        </w:rPr>
        <w:t>Prof Asist. Gabriela Veras Iglesias (SCEAM-UDELAR)</w:t>
      </w:r>
    </w:p>
    <w:p>
      <w:pPr>
        <w:pStyle w:val="Standard"/>
        <w:spacing w:lineRule="auto" w:line="360"/>
        <w:jc w:val="both"/>
        <w:rPr>
          <w:rFonts w:ascii="Arial Narrow" w:hAnsi="Arial Narrow"/>
          <w:sz w:val="22"/>
          <w:szCs w:val="22"/>
        </w:rPr>
      </w:pPr>
      <w:r>
        <w:rPr>
          <w:rFonts w:ascii="Arial Narrow" w:hAnsi="Arial Narrow"/>
          <w:sz w:val="22"/>
          <w:szCs w:val="22"/>
        </w:rPr>
      </w:r>
    </w:p>
    <w:p>
      <w:pPr>
        <w:pStyle w:val="Standard"/>
        <w:spacing w:lineRule="auto" w:line="360"/>
        <w:jc w:val="both"/>
        <w:rPr>
          <w:rFonts w:ascii="Arial Narrow" w:hAnsi="Arial Narrow"/>
          <w:b/>
          <w:b/>
          <w:bCs/>
          <w:sz w:val="22"/>
          <w:szCs w:val="22"/>
        </w:rPr>
      </w:pPr>
      <w:r>
        <w:rPr>
          <w:rFonts w:ascii="Arial Narrow" w:hAnsi="Arial Narrow"/>
          <w:b/>
          <w:bCs/>
          <w:sz w:val="22"/>
          <w:szCs w:val="22"/>
        </w:rPr>
        <w:t>Fundamentación</w:t>
      </w:r>
    </w:p>
    <w:p>
      <w:pPr>
        <w:pStyle w:val="Textbody"/>
        <w:spacing w:lineRule="auto" w:line="360" w:before="0" w:after="0"/>
        <w:jc w:val="both"/>
        <w:rPr>
          <w:rFonts w:ascii="Arial Narrow" w:hAnsi="Arial Narrow"/>
          <w:sz w:val="22"/>
          <w:szCs w:val="22"/>
        </w:rPr>
      </w:pPr>
      <w:r>
        <w:rPr>
          <w:rFonts w:ascii="Arial Narrow" w:hAnsi="Arial Narrow"/>
          <w:sz w:val="22"/>
          <w:szCs w:val="22"/>
        </w:rPr>
      </w:r>
    </w:p>
    <w:p>
      <w:pPr>
        <w:pStyle w:val="Textbody"/>
        <w:spacing w:lineRule="auto" w:line="360" w:before="0" w:after="0"/>
        <w:jc w:val="both"/>
        <w:rPr>
          <w:rFonts w:ascii="Arial Narrow" w:hAnsi="Arial Narrow"/>
          <w:sz w:val="22"/>
          <w:szCs w:val="22"/>
        </w:rPr>
      </w:pPr>
      <w:r>
        <w:rPr>
          <w:rFonts w:ascii="Arial Narrow" w:hAnsi="Arial Narrow"/>
          <w:sz w:val="22"/>
          <w:szCs w:val="22"/>
        </w:rPr>
        <w:t>Con el seminario temático se pretende, por un lado, hacer un panorama conceptual sobre la producción de lo común presentando sus principales lineas de debate y los campos problemáticos que se despliegan. Nos interesa profundizar sobre los comunes anticapitalistas, que ubican la reproducción de la vida en el centro y que ensayan formas de regulación política de las riquezas comunes tendientes al autogobierno.</w:t>
      </w:r>
    </w:p>
    <w:p>
      <w:pPr>
        <w:pStyle w:val="Textbody"/>
        <w:spacing w:lineRule="auto" w:line="360" w:before="0" w:after="0"/>
        <w:jc w:val="both"/>
        <w:rPr>
          <w:rFonts w:ascii="Arial Narrow" w:hAnsi="Arial Narrow"/>
          <w:sz w:val="22"/>
          <w:szCs w:val="22"/>
        </w:rPr>
      </w:pPr>
      <w:r>
        <w:rPr>
          <w:rFonts w:ascii="Arial Narrow" w:hAnsi="Arial Narrow"/>
          <w:sz w:val="22"/>
          <w:szCs w:val="22"/>
        </w:rPr>
        <w:t>Por otro lado, se propone discutir algunas de las claves que nos ay</w:t>
      </w:r>
      <w:bookmarkStart w:id="0" w:name="_GoBack"/>
      <w:bookmarkEnd w:id="0"/>
      <w:r>
        <w:rPr>
          <w:rFonts w:ascii="Arial Narrow" w:hAnsi="Arial Narrow"/>
          <w:sz w:val="22"/>
          <w:szCs w:val="22"/>
        </w:rPr>
        <w:t>uda a analizar las experiencias asociativas en el campo de la Economía Social y Solidaria (ESS) ¿Cómo podemos mirar las experiencias de ESS desde la perspectiva de los comunes?.</w:t>
      </w:r>
    </w:p>
    <w:p>
      <w:pPr>
        <w:pStyle w:val="Textbody"/>
        <w:spacing w:lineRule="auto" w:line="360" w:before="0" w:after="0"/>
        <w:jc w:val="both"/>
        <w:rPr>
          <w:rFonts w:ascii="Arial Narrow" w:hAnsi="Arial Narrow"/>
          <w:sz w:val="22"/>
          <w:szCs w:val="22"/>
        </w:rPr>
      </w:pPr>
      <w:r>
        <w:rPr>
          <w:rFonts w:ascii="Arial Narrow" w:hAnsi="Arial Narrow"/>
          <w:sz w:val="22"/>
          <w:szCs w:val="22"/>
        </w:rPr>
        <w:t>El marco del seminario anual del comité PROCOAS constituye un espacio propicio para el desarrollo de esta instancia, donde compartir e intercambiar saberes y aportes de docentes, estudiantes y personas trabajadoras asociadas en sus experiencias colectivas, que combinan su hacer con los de sus semejantes para satisfacer sus necesidades y recuperar sus medios de existencia y el control directo sobre los mismos.</w:t>
      </w:r>
    </w:p>
    <w:p>
      <w:pPr>
        <w:pStyle w:val="Textbody"/>
        <w:spacing w:lineRule="auto" w:line="360" w:before="0" w:after="0"/>
        <w:jc w:val="both"/>
        <w:rPr>
          <w:rFonts w:ascii="Arial Narrow" w:hAnsi="Arial Narrow"/>
          <w:sz w:val="22"/>
          <w:szCs w:val="22"/>
        </w:rPr>
      </w:pPr>
      <w:r>
        <w:rPr>
          <w:rFonts w:ascii="Arial Narrow" w:hAnsi="Arial Narrow"/>
          <w:sz w:val="22"/>
          <w:szCs w:val="22"/>
        </w:rPr>
        <w:t>Se proponen miradas en plural, que supone el reconocimiento de diversas concepciones que confluyen en un campo en disputa como el de la ESS, y donde las perspectivas de los comunes contribuye a nuestro entender a superar visiones apologéticas o conformistas. Se trata de reflexionar sobre límites y posibilidades de los procesos colectivos y sus conexiones.</w:t>
      </w:r>
    </w:p>
    <w:p>
      <w:pPr>
        <w:pStyle w:val="Textbody"/>
        <w:spacing w:lineRule="auto" w:line="360" w:before="0" w:after="0"/>
        <w:jc w:val="both"/>
        <w:rPr>
          <w:rFonts w:ascii="Arial Narrow" w:hAnsi="Arial Narrow"/>
          <w:sz w:val="22"/>
          <w:szCs w:val="22"/>
        </w:rPr>
      </w:pPr>
      <w:r>
        <w:rPr>
          <w:rFonts w:ascii="Arial Narrow" w:hAnsi="Arial Narrow"/>
          <w:sz w:val="22"/>
          <w:szCs w:val="22"/>
        </w:rPr>
      </w:r>
    </w:p>
    <w:p>
      <w:pPr>
        <w:pStyle w:val="Standard"/>
        <w:spacing w:lineRule="auto" w:line="360"/>
        <w:jc w:val="both"/>
        <w:rPr>
          <w:rFonts w:ascii="Arial Narrow" w:hAnsi="Arial Narrow"/>
          <w:b/>
          <w:b/>
          <w:bCs/>
          <w:sz w:val="22"/>
          <w:szCs w:val="22"/>
        </w:rPr>
      </w:pPr>
      <w:r>
        <w:rPr>
          <w:rFonts w:ascii="Arial Narrow" w:hAnsi="Arial Narrow"/>
          <w:b/>
          <w:bCs/>
          <w:sz w:val="22"/>
          <w:szCs w:val="22"/>
        </w:rPr>
        <w:t>Metodología</w:t>
      </w:r>
    </w:p>
    <w:p>
      <w:pPr>
        <w:pStyle w:val="Standard"/>
        <w:spacing w:lineRule="auto" w:line="360"/>
        <w:jc w:val="both"/>
        <w:rPr>
          <w:rFonts w:ascii="Arial Narrow" w:hAnsi="Arial Narrow"/>
          <w:sz w:val="22"/>
          <w:szCs w:val="22"/>
        </w:rPr>
      </w:pPr>
      <w:r>
        <w:rPr>
          <w:rFonts w:ascii="Arial Narrow" w:hAnsi="Arial Narrow"/>
          <w:sz w:val="22"/>
          <w:szCs w:val="22"/>
        </w:rPr>
      </w:r>
    </w:p>
    <w:p>
      <w:pPr>
        <w:pStyle w:val="Standard"/>
        <w:spacing w:lineRule="auto" w:line="360"/>
        <w:jc w:val="both"/>
        <w:rPr>
          <w:rFonts w:ascii="Arial Narrow" w:hAnsi="Arial Narrow"/>
          <w:sz w:val="22"/>
          <w:szCs w:val="22"/>
        </w:rPr>
      </w:pPr>
      <w:r>
        <w:rPr>
          <w:rFonts w:ascii="Arial Narrow" w:hAnsi="Arial Narrow"/>
          <w:sz w:val="22"/>
          <w:szCs w:val="22"/>
        </w:rPr>
        <w:t>El mini-curso tiene la carga horaria de cuatro horas, la cual será dividida en dos encuentros de dos horas. La propuesta es trabajar la temática en distintas modalidades, entre momentos expositivos, utilizando medios audiovisuales y trabajos en grupos.</w:t>
      </w:r>
    </w:p>
    <w:p>
      <w:pPr>
        <w:pStyle w:val="Standard"/>
        <w:spacing w:lineRule="auto" w:line="360"/>
        <w:jc w:val="both"/>
        <w:rPr>
          <w:rFonts w:ascii="Arial Narrow" w:hAnsi="Arial Narrow"/>
          <w:sz w:val="22"/>
          <w:szCs w:val="22"/>
        </w:rPr>
      </w:pPr>
      <w:r>
        <w:rPr>
          <w:rFonts w:ascii="Arial Narrow" w:hAnsi="Arial Narrow"/>
          <w:sz w:val="22"/>
          <w:szCs w:val="22"/>
        </w:rPr>
      </w:r>
    </w:p>
    <w:p>
      <w:pPr>
        <w:pStyle w:val="Standard"/>
        <w:spacing w:lineRule="auto" w:line="360"/>
        <w:jc w:val="both"/>
        <w:rPr>
          <w:rFonts w:ascii="Arial Narrow" w:hAnsi="Arial Narrow"/>
          <w:b/>
          <w:b/>
          <w:bCs/>
          <w:sz w:val="22"/>
          <w:szCs w:val="22"/>
        </w:rPr>
      </w:pPr>
      <w:r>
        <w:rPr>
          <w:rFonts w:ascii="Arial Narrow" w:hAnsi="Arial Narrow"/>
          <w:b/>
          <w:bCs/>
          <w:sz w:val="22"/>
          <w:szCs w:val="22"/>
        </w:rPr>
        <w:t xml:space="preserve">Programa resumido  </w:t>
      </w:r>
    </w:p>
    <w:p>
      <w:pPr>
        <w:pStyle w:val="Standard"/>
        <w:spacing w:lineRule="auto" w:line="360"/>
        <w:jc w:val="both"/>
        <w:rPr>
          <w:rFonts w:ascii="Arial Narrow" w:hAnsi="Arial Narrow"/>
          <w:b/>
          <w:b/>
          <w:bCs/>
          <w:sz w:val="22"/>
          <w:szCs w:val="22"/>
        </w:rPr>
      </w:pPr>
      <w:r>
        <w:rPr>
          <w:rFonts w:ascii="Arial Narrow" w:hAnsi="Arial Narrow"/>
          <w:b/>
          <w:bCs/>
          <w:sz w:val="22"/>
          <w:szCs w:val="22"/>
        </w:rPr>
      </w:r>
    </w:p>
    <w:p>
      <w:pPr>
        <w:pStyle w:val="Textbody"/>
        <w:spacing w:lineRule="auto" w:line="360"/>
        <w:jc w:val="both"/>
        <w:rPr>
          <w:rFonts w:ascii="Arial Narrow" w:hAnsi="Arial Narrow"/>
          <w:sz w:val="22"/>
          <w:szCs w:val="22"/>
        </w:rPr>
      </w:pPr>
      <w:bookmarkStart w:id="1" w:name="docs-internal-guid-d9bd3a7b-7fff-df87-b0"/>
      <w:bookmarkEnd w:id="1"/>
      <w:r>
        <w:rPr>
          <w:rFonts w:ascii="Arial Narrow" w:hAnsi="Arial Narrow"/>
          <w:sz w:val="22"/>
          <w:szCs w:val="22"/>
        </w:rPr>
        <w:t>I – Marco Conceptual: Debate de los Comunes</w:t>
      </w:r>
    </w:p>
    <w:p>
      <w:pPr>
        <w:pStyle w:val="Textbody"/>
        <w:spacing w:lineRule="auto" w:line="360" w:before="0" w:after="0"/>
        <w:jc w:val="both"/>
        <w:rPr>
          <w:rFonts w:ascii="Arial Narrow" w:hAnsi="Arial Narrow"/>
          <w:sz w:val="22"/>
          <w:szCs w:val="22"/>
        </w:rPr>
      </w:pPr>
      <w:bookmarkStart w:id="2" w:name="docs-internal-guid-02a40de9-7fff-d87d-30"/>
      <w:bookmarkEnd w:id="2"/>
      <w:r>
        <w:rPr>
          <w:rFonts w:ascii="Arial Narrow" w:hAnsi="Arial Narrow"/>
          <w:sz w:val="22"/>
          <w:szCs w:val="22"/>
        </w:rPr>
        <w:t>A partir de una breve historización, se pretende plantear el contexto donde el debate sobre los comunes se reactualizan y las distintas miradas que se despliegan.</w:t>
      </w:r>
    </w:p>
    <w:p>
      <w:pPr>
        <w:pStyle w:val="Textbody"/>
        <w:spacing w:lineRule="auto" w:line="360" w:before="0" w:after="0"/>
        <w:jc w:val="both"/>
        <w:rPr>
          <w:rFonts w:ascii="Arial Narrow" w:hAnsi="Arial Narrow"/>
          <w:sz w:val="22"/>
          <w:szCs w:val="22"/>
        </w:rPr>
      </w:pPr>
      <w:r>
        <w:rPr>
          <w:rFonts w:ascii="Arial Narrow" w:hAnsi="Arial Narrow"/>
          <w:sz w:val="22"/>
          <w:szCs w:val="22"/>
        </w:rPr>
        <w:t xml:space="preserve">Nos interesa trabajar con más profundidad la perspectiva de los comunes anti capitalistas, que tiene como sus exponentes Federici y </w:t>
      </w:r>
      <w:r>
        <w:rPr>
          <w:rFonts w:ascii="Arial Narrow" w:hAnsi="Arial Narrow"/>
          <w:bCs/>
          <w:sz w:val="22"/>
          <w:szCs w:val="22"/>
        </w:rPr>
        <w:t>Caffentzis (2015), Federici (2004, 2013, 2018).</w:t>
      </w:r>
      <w:r>
        <w:rPr>
          <w:rFonts w:ascii="Arial Narrow" w:hAnsi="Arial Narrow"/>
          <w:b/>
          <w:bCs/>
          <w:sz w:val="22"/>
          <w:szCs w:val="22"/>
        </w:rPr>
        <w:t xml:space="preserve"> </w:t>
      </w:r>
      <w:r>
        <w:rPr>
          <w:rFonts w:ascii="Arial Narrow" w:hAnsi="Arial Narrow"/>
          <w:sz w:val="22"/>
          <w:szCs w:val="22"/>
        </w:rPr>
        <w:t>Gutierrez (2015, 2018)</w:t>
      </w:r>
    </w:p>
    <w:p>
      <w:pPr>
        <w:pStyle w:val="Textbody"/>
        <w:spacing w:lineRule="auto" w:line="360" w:before="0" w:after="0"/>
        <w:jc w:val="both"/>
        <w:rPr>
          <w:rFonts w:ascii="Arial Narrow" w:hAnsi="Arial Narrow"/>
          <w:sz w:val="22"/>
          <w:szCs w:val="22"/>
        </w:rPr>
      </w:pPr>
      <w:r>
        <w:rPr>
          <w:rFonts w:ascii="Arial Narrow" w:hAnsi="Arial Narrow"/>
          <w:sz w:val="22"/>
          <w:szCs w:val="22"/>
        </w:rPr>
        <w:t>Desde esta perspectiva se pretende abordar la dimensión política que se desprende de las tramas comunitarias de reproducción de la vida que se tejen en el territorio rural y urbano, tratando las particularidades y similitudes que el trabajo y el autogobierno juega en la producción de lo común.</w:t>
      </w:r>
    </w:p>
    <w:p>
      <w:pPr>
        <w:pStyle w:val="Textbody"/>
        <w:spacing w:lineRule="auto" w:line="360" w:before="0" w:after="0"/>
        <w:jc w:val="both"/>
        <w:rPr>
          <w:rFonts w:ascii="Arial Narrow" w:hAnsi="Arial Narrow"/>
          <w:sz w:val="22"/>
          <w:szCs w:val="22"/>
        </w:rPr>
      </w:pPr>
      <w:r>
        <w:rPr>
          <w:rFonts w:ascii="Arial Narrow" w:hAnsi="Arial Narrow"/>
          <w:sz w:val="22"/>
          <w:szCs w:val="22"/>
        </w:rPr>
      </w:r>
    </w:p>
    <w:p>
      <w:pPr>
        <w:pStyle w:val="Standard"/>
        <w:spacing w:lineRule="auto" w:line="360"/>
        <w:jc w:val="both"/>
        <w:rPr/>
      </w:pPr>
      <w:r>
        <w:rPr>
          <w:rFonts w:ascii="Arial Narrow" w:hAnsi="Arial Narrow"/>
          <w:sz w:val="22"/>
          <w:szCs w:val="22"/>
        </w:rPr>
        <w:t>II – La Economía Social y Solidaria (ESS) como Posibilidad de Construcción de los Comunes</w:t>
      </w:r>
    </w:p>
    <w:p>
      <w:pPr>
        <w:pStyle w:val="Standard"/>
        <w:spacing w:lineRule="auto" w:line="360"/>
        <w:jc w:val="both"/>
        <w:rPr>
          <w:rFonts w:ascii="Arial Narrow" w:hAnsi="Arial Narrow"/>
          <w:sz w:val="22"/>
          <w:szCs w:val="22"/>
        </w:rPr>
      </w:pPr>
      <w:r>
        <w:rPr>
          <w:rFonts w:ascii="Arial Narrow" w:hAnsi="Arial Narrow"/>
          <w:sz w:val="22"/>
          <w:szCs w:val="22"/>
        </w:rPr>
        <w:t>A partir del abordaje teórico trabajado sobre las formas de concebir la producción de lo común, se pretende mirar algunas experiencias que se despliegan del campo de la ESS para pensar lo público, lo privado y lo común:</w:t>
      </w:r>
    </w:p>
    <w:p>
      <w:pPr>
        <w:pStyle w:val="Textbody"/>
        <w:spacing w:lineRule="auto" w:line="360"/>
        <w:rPr>
          <w:rFonts w:ascii="Arial Narrow" w:hAnsi="Arial Narrow"/>
          <w:sz w:val="22"/>
          <w:szCs w:val="22"/>
        </w:rPr>
      </w:pPr>
      <w:r>
        <w:rPr>
          <w:rFonts w:ascii="Arial Narrow" w:hAnsi="Arial Narrow"/>
          <w:sz w:val="22"/>
          <w:szCs w:val="22"/>
        </w:rPr>
        <w:t>1. Caso de los Residuos y su gestión: ¿se produce comunes?</w:t>
      </w:r>
    </w:p>
    <w:p>
      <w:pPr>
        <w:pStyle w:val="Textbody"/>
        <w:spacing w:lineRule="auto" w:line="360"/>
        <w:rPr>
          <w:rFonts w:ascii="Arial Narrow" w:hAnsi="Arial Narrow"/>
          <w:sz w:val="22"/>
          <w:szCs w:val="22"/>
        </w:rPr>
      </w:pPr>
      <w:r>
        <w:rPr>
          <w:rFonts w:ascii="Arial Narrow" w:hAnsi="Arial Narrow"/>
          <w:sz w:val="22"/>
          <w:szCs w:val="22"/>
        </w:rPr>
        <w:t>2. FUCVAM como reproducción de lo común desde la propiedad colectivo</w:t>
      </w:r>
    </w:p>
    <w:p>
      <w:pPr>
        <w:pStyle w:val="Textbody"/>
        <w:spacing w:lineRule="auto" w:line="360"/>
        <w:rPr>
          <w:rFonts w:ascii="Arial Narrow" w:hAnsi="Arial Narrow"/>
          <w:sz w:val="22"/>
          <w:szCs w:val="22"/>
        </w:rPr>
      </w:pPr>
      <w:r>
        <w:rPr>
          <w:rFonts w:ascii="Arial Narrow" w:hAnsi="Arial Narrow"/>
          <w:sz w:val="22"/>
          <w:szCs w:val="22"/>
        </w:rPr>
        <w:t>3. El feminismo y la reproducción de la vida</w:t>
      </w:r>
    </w:p>
    <w:p>
      <w:pPr>
        <w:pStyle w:val="Textbody"/>
        <w:spacing w:lineRule="auto" w:line="360"/>
        <w:rPr>
          <w:rFonts w:ascii="Arial Narrow" w:hAnsi="Arial Narrow"/>
          <w:sz w:val="22"/>
          <w:szCs w:val="22"/>
        </w:rPr>
      </w:pPr>
      <w:r>
        <w:rPr>
          <w:rFonts w:ascii="Arial Narrow" w:hAnsi="Arial Narrow"/>
          <w:sz w:val="22"/>
          <w:szCs w:val="22"/>
        </w:rPr>
        <w:t>4. Moneda social como potencial producción de lo común: caso Palmas - BR</w:t>
      </w:r>
    </w:p>
    <w:p>
      <w:pPr>
        <w:pStyle w:val="Textbody"/>
        <w:spacing w:lineRule="auto" w:line="360"/>
        <w:rPr>
          <w:rFonts w:ascii="Arial Narrow" w:hAnsi="Arial Narrow"/>
          <w:b/>
          <w:b/>
          <w:bCs/>
          <w:sz w:val="22"/>
          <w:szCs w:val="22"/>
        </w:rPr>
      </w:pPr>
      <w:r>
        <w:rPr>
          <w:rFonts w:ascii="Arial Narrow" w:hAnsi="Arial Narrow"/>
          <w:b/>
          <w:bCs/>
          <w:sz w:val="22"/>
          <w:szCs w:val="22"/>
        </w:rPr>
      </w:r>
    </w:p>
    <w:p>
      <w:pPr>
        <w:pStyle w:val="Textbody"/>
        <w:spacing w:lineRule="auto" w:line="360"/>
        <w:rPr>
          <w:rFonts w:ascii="Arial Narrow" w:hAnsi="Arial Narrow"/>
          <w:b/>
          <w:b/>
          <w:bCs/>
          <w:sz w:val="22"/>
          <w:szCs w:val="22"/>
        </w:rPr>
      </w:pPr>
      <w:r>
        <w:rPr>
          <w:rFonts w:ascii="Arial Narrow" w:hAnsi="Arial Narrow"/>
          <w:b/>
          <w:bCs/>
          <w:sz w:val="22"/>
          <w:szCs w:val="22"/>
        </w:rPr>
      </w:r>
    </w:p>
    <w:p>
      <w:pPr>
        <w:pStyle w:val="Textbody"/>
        <w:spacing w:lineRule="auto" w:line="360"/>
        <w:rPr>
          <w:rFonts w:ascii="Arial Narrow" w:hAnsi="Arial Narrow"/>
          <w:b/>
          <w:b/>
          <w:bCs/>
          <w:sz w:val="22"/>
          <w:szCs w:val="22"/>
        </w:rPr>
      </w:pPr>
      <w:r>
        <w:rPr>
          <w:rFonts w:ascii="Arial Narrow" w:hAnsi="Arial Narrow"/>
          <w:b/>
          <w:bCs/>
          <w:sz w:val="22"/>
          <w:szCs w:val="22"/>
        </w:rPr>
        <w:t>Bibliografía orientadora</w:t>
      </w:r>
    </w:p>
    <w:p>
      <w:pPr>
        <w:pStyle w:val="Standard"/>
        <w:spacing w:before="0" w:after="120"/>
        <w:jc w:val="both"/>
        <w:rPr>
          <w:rFonts w:ascii="Arial Narrow" w:hAnsi="Arial Narrow"/>
          <w:sz w:val="22"/>
          <w:szCs w:val="22"/>
        </w:rPr>
      </w:pPr>
      <w:r>
        <w:rPr>
          <w:rFonts w:ascii="Arial Narrow" w:hAnsi="Arial Narrow"/>
          <w:sz w:val="22"/>
          <w:szCs w:val="22"/>
        </w:rPr>
        <w:t>Braz, Juliana de Oliveira Barros. Os dilemas de se estar no fio da navalha: a experiência do Banco Palmas e suas práticas cotidianas.  Tese de doutorado. Programa de Pós-Graduação em Psicologia. Instituto de Psicologia da Universidade de São Paulo.São Paulo, 2014.</w:t>
      </w:r>
    </w:p>
    <w:p>
      <w:pPr>
        <w:pStyle w:val="Textbody"/>
        <w:spacing w:lineRule="auto" w:line="240" w:before="0" w:after="120"/>
        <w:jc w:val="both"/>
        <w:rPr>
          <w:rFonts w:ascii="Arial Narrow" w:hAnsi="Arial Narrow"/>
          <w:sz w:val="22"/>
          <w:szCs w:val="22"/>
        </w:rPr>
      </w:pPr>
      <w:r>
        <w:rPr>
          <w:rFonts w:ascii="Arial Narrow" w:hAnsi="Arial Narrow"/>
          <w:sz w:val="22"/>
          <w:szCs w:val="22"/>
        </w:rPr>
        <w:t>Caffentzis y Federici “Comunes contra y más allá del capitalismo”. Apantle. Revista de Estudios Comunitarios, n.1, 2015, 51-72.</w:t>
      </w:r>
    </w:p>
    <w:p>
      <w:pPr>
        <w:pStyle w:val="Textbody"/>
        <w:spacing w:lineRule="auto" w:line="240" w:before="0" w:after="120"/>
        <w:jc w:val="both"/>
        <w:rPr>
          <w:rFonts w:ascii="Arial Narrow" w:hAnsi="Arial Narrow"/>
          <w:sz w:val="22"/>
          <w:szCs w:val="22"/>
        </w:rPr>
      </w:pPr>
      <w:r>
        <w:rPr>
          <w:rFonts w:ascii="Arial Narrow" w:hAnsi="Arial Narrow"/>
          <w:sz w:val="22"/>
          <w:szCs w:val="22"/>
        </w:rPr>
        <w:t>Coraggio, José Luis (Comp) Miradas sobre la economía social y solidaria (ESS) en América Latina. Buenos Aires: Universidad Nacional de General Sarmiento, 2017.</w:t>
      </w:r>
    </w:p>
    <w:p>
      <w:pPr>
        <w:pStyle w:val="Textbody"/>
        <w:spacing w:lineRule="auto" w:line="240" w:before="0" w:after="120"/>
        <w:jc w:val="both"/>
        <w:rPr>
          <w:rFonts w:ascii="Arial Narrow" w:hAnsi="Arial Narrow"/>
          <w:sz w:val="22"/>
          <w:szCs w:val="22"/>
        </w:rPr>
      </w:pPr>
      <w:r>
        <w:rPr>
          <w:rFonts w:ascii="Arial Narrow" w:hAnsi="Arial Narrow"/>
          <w:sz w:val="22"/>
          <w:szCs w:val="22"/>
        </w:rPr>
        <w:t>Navarro, Mina Lorena. "Hacer común contra la fragmentación en la ciudad: experiencias de autonomía para la reproducción de la vida". Apantle. Revista de Estudios Comunitarios, n.1, 2015, 99-124.</w:t>
      </w:r>
    </w:p>
    <w:p>
      <w:pPr>
        <w:pStyle w:val="Textbody"/>
        <w:spacing w:lineRule="auto" w:line="240" w:before="0" w:after="120"/>
        <w:jc w:val="both"/>
        <w:rPr>
          <w:rFonts w:ascii="Arial Narrow" w:hAnsi="Arial Narrow"/>
          <w:sz w:val="22"/>
          <w:szCs w:val="22"/>
        </w:rPr>
      </w:pPr>
      <w:r>
        <w:rPr>
          <w:rFonts w:ascii="Arial Narrow" w:hAnsi="Arial Narrow"/>
          <w:sz w:val="22"/>
          <w:szCs w:val="22"/>
        </w:rPr>
        <w:t xml:space="preserve">Federici, Silvia. El feminismo y las políticas de lo común en una era de acumulación primitiva. En </w:t>
      </w:r>
      <w:r>
        <w:rPr>
          <w:rFonts w:ascii="Arial Narrow" w:hAnsi="Arial Narrow"/>
          <w:i/>
          <w:iCs/>
          <w:sz w:val="22"/>
          <w:szCs w:val="22"/>
        </w:rPr>
        <w:t>Revolución en punto cero</w:t>
      </w:r>
      <w:r>
        <w:rPr>
          <w:rFonts w:ascii="Arial Narrow" w:hAnsi="Arial Narrow"/>
          <w:sz w:val="22"/>
          <w:szCs w:val="22"/>
        </w:rPr>
        <w:t>. Madrid: Traficantes de sueños, 2013. p.243-254.</w:t>
      </w:r>
    </w:p>
    <w:p>
      <w:pPr>
        <w:pStyle w:val="Textbody"/>
        <w:spacing w:lineRule="auto" w:line="240" w:before="0" w:after="120"/>
        <w:jc w:val="both"/>
        <w:rPr>
          <w:rFonts w:ascii="Arial Narrow" w:hAnsi="Arial Narrow"/>
          <w:sz w:val="22"/>
          <w:szCs w:val="22"/>
        </w:rPr>
      </w:pPr>
      <w:r>
        <w:rPr>
          <w:rFonts w:ascii="Arial Narrow" w:hAnsi="Arial Narrow"/>
          <w:sz w:val="22"/>
          <w:szCs w:val="22"/>
        </w:rPr>
        <w:t>Federici, Silvia. El patriarcado del salario. Madrid: Traficantes de sueños, 2018.</w:t>
      </w:r>
    </w:p>
    <w:p>
      <w:pPr>
        <w:pStyle w:val="Textbody"/>
        <w:spacing w:lineRule="auto" w:line="240" w:before="0" w:after="120"/>
        <w:jc w:val="both"/>
        <w:rPr>
          <w:rFonts w:ascii="Arial Narrow" w:hAnsi="Arial Narrow"/>
          <w:sz w:val="22"/>
          <w:szCs w:val="22"/>
        </w:rPr>
      </w:pPr>
      <w:r>
        <w:rPr>
          <w:rFonts w:ascii="Arial Narrow" w:hAnsi="Arial Narrow"/>
          <w:sz w:val="22"/>
          <w:szCs w:val="22"/>
        </w:rPr>
        <w:t>Federici, Silvia. Calibán y la bruja. Mujeres, cuerpo y acumulación originaria. Madrid: Traficantes de sueños, 2004.</w:t>
      </w:r>
    </w:p>
    <w:p>
      <w:pPr>
        <w:pStyle w:val="Textbody"/>
        <w:spacing w:lineRule="auto" w:line="240" w:before="0" w:after="120"/>
        <w:jc w:val="both"/>
        <w:rPr>
          <w:rFonts w:ascii="Arial Narrow" w:hAnsi="Arial Narrow"/>
          <w:sz w:val="22"/>
          <w:szCs w:val="22"/>
        </w:rPr>
      </w:pPr>
      <w:r>
        <w:rPr>
          <w:rFonts w:ascii="Arial Narrow" w:hAnsi="Arial Narrow"/>
          <w:sz w:val="22"/>
          <w:szCs w:val="22"/>
        </w:rPr>
        <w:t>FUCVAM “Guía Contra la Violencia Sobre la Mujer” Área Género Aprobada en la 68</w:t>
      </w:r>
    </w:p>
    <w:p>
      <w:pPr>
        <w:pStyle w:val="Textbody"/>
        <w:spacing w:lineRule="auto" w:line="240" w:before="0" w:after="120"/>
        <w:jc w:val="both"/>
        <w:rPr>
          <w:rFonts w:ascii="Arial Narrow" w:hAnsi="Arial Narrow"/>
          <w:sz w:val="22"/>
          <w:szCs w:val="22"/>
        </w:rPr>
      </w:pPr>
      <w:r>
        <w:rPr>
          <w:rFonts w:ascii="Arial Narrow" w:hAnsi="Arial Narrow"/>
          <w:sz w:val="22"/>
          <w:szCs w:val="22"/>
        </w:rPr>
        <w:t>Asamblea Nacional 27 y 28 de Mayo. Montevideo: CEFIC/FUCVAM, 2017.</w:t>
      </w:r>
    </w:p>
    <w:p>
      <w:pPr>
        <w:pStyle w:val="Textbody"/>
        <w:spacing w:lineRule="auto" w:line="240" w:before="0" w:after="120"/>
        <w:jc w:val="both"/>
        <w:rPr>
          <w:rFonts w:ascii="Arial Narrow" w:hAnsi="Arial Narrow"/>
          <w:sz w:val="22"/>
          <w:szCs w:val="22"/>
        </w:rPr>
      </w:pPr>
      <w:r>
        <w:rPr>
          <w:rFonts w:ascii="Arial Narrow" w:hAnsi="Arial Narrow"/>
          <w:sz w:val="22"/>
          <w:szCs w:val="22"/>
        </w:rPr>
        <w:t>Gutiérrez Aguilar, Raquel Comunalidad, tramas comunitarias y producción de lo común. Debates contemporáneos desde América Latina (Coord.) Oaxaca, México: Colectivo Editorial Pez en el Árbol, Editorial Casa de las Preguntas, 2018.</w:t>
      </w:r>
    </w:p>
    <w:p>
      <w:pPr>
        <w:pStyle w:val="Textbody"/>
        <w:spacing w:lineRule="auto" w:line="240" w:before="0" w:after="120"/>
        <w:jc w:val="both"/>
        <w:rPr>
          <w:rFonts w:ascii="Arial Narrow" w:hAnsi="Arial Narrow"/>
          <w:sz w:val="22"/>
          <w:szCs w:val="22"/>
        </w:rPr>
      </w:pPr>
      <w:r>
        <w:rPr>
          <w:rFonts w:ascii="Arial Narrow" w:hAnsi="Arial Narrow"/>
          <w:sz w:val="22"/>
          <w:szCs w:val="22"/>
        </w:rPr>
        <w:t>Gutiérrez, Raquel y Salazar, Huascar. “Reproducción comunitaria de la vida. Pensando la trans-formación social en el presente”. Apantle Revista de Estudios Comunitarios, n.1, 2015, 15-50.</w:t>
      </w:r>
    </w:p>
    <w:p>
      <w:pPr>
        <w:pStyle w:val="Textbody"/>
        <w:spacing w:lineRule="auto" w:line="240" w:before="0" w:after="120"/>
        <w:jc w:val="both"/>
        <w:rPr>
          <w:rFonts w:ascii="Arial Narrow" w:hAnsi="Arial Narrow"/>
          <w:sz w:val="22"/>
          <w:szCs w:val="22"/>
        </w:rPr>
      </w:pPr>
      <w:r>
        <w:rPr>
          <w:rFonts w:ascii="Arial Narrow" w:hAnsi="Arial Narrow"/>
          <w:sz w:val="22"/>
          <w:szCs w:val="22"/>
        </w:rPr>
        <w:t>Jubeto Ruiz, Yolanda y Larrañaga Sarriegi, Mertxe. “La economía será solidaria si es feminista. Aportaciones de la Economía Feminista a la construcción de una Economía Solidaria”. En Sostenibilidad de la vida. Aportaciones desde la economía solidaria, feminista y Ecológica. Euskadi: Reas, 2014. 13-26.</w:t>
      </w:r>
    </w:p>
    <w:p>
      <w:pPr>
        <w:pStyle w:val="Standard"/>
        <w:spacing w:before="0" w:after="120"/>
        <w:rPr>
          <w:rFonts w:ascii="Arial Narrow" w:hAnsi="Arial Narrow"/>
          <w:sz w:val="22"/>
          <w:szCs w:val="22"/>
        </w:rPr>
      </w:pPr>
      <w:r>
        <w:rPr>
          <w:rFonts w:ascii="Arial Narrow" w:hAnsi="Arial Narrow"/>
          <w:sz w:val="22"/>
          <w:szCs w:val="22"/>
          <w:lang w:val="en-US"/>
        </w:rPr>
        <w:t xml:space="preserve">Melo Netto, João Joaquim; Magallaes, Sandra. </w:t>
      </w:r>
      <w:r>
        <w:rPr>
          <w:rFonts w:ascii="Arial Narrow" w:hAnsi="Arial Narrow"/>
          <w:sz w:val="22"/>
          <w:szCs w:val="22"/>
        </w:rPr>
        <w:t>O poder do circulante local: a moeda social no Conjunto Palmeira. Fortaleza: Instituto Banco Palmas, 2005.</w:t>
      </w:r>
    </w:p>
    <w:p>
      <w:pPr>
        <w:pStyle w:val="Textbody"/>
        <w:spacing w:lineRule="auto" w:line="240" w:before="0" w:after="120"/>
        <w:jc w:val="both"/>
        <w:rPr>
          <w:rFonts w:ascii="Arial Narrow" w:hAnsi="Arial Narrow"/>
          <w:sz w:val="22"/>
          <w:szCs w:val="22"/>
        </w:rPr>
      </w:pPr>
      <w:r>
        <w:rPr>
          <w:rFonts w:ascii="Arial Narrow" w:hAnsi="Arial Narrow"/>
          <w:sz w:val="22"/>
          <w:szCs w:val="22"/>
        </w:rPr>
        <w:t>Pérez Orozco, Amaia. Subversión feminista de la economía. Aportes para un debate sobre el conflicto capital-vida. Madrid: Traficantes de sueños, 2014.</w:t>
      </w:r>
    </w:p>
    <w:p>
      <w:pPr>
        <w:pStyle w:val="Textbody"/>
        <w:spacing w:lineRule="auto" w:line="240" w:before="0" w:after="120"/>
        <w:jc w:val="both"/>
        <w:rPr>
          <w:rFonts w:ascii="Arial Narrow" w:hAnsi="Arial Narrow"/>
          <w:sz w:val="22"/>
          <w:szCs w:val="22"/>
        </w:rPr>
      </w:pPr>
      <w:r>
        <w:rPr>
          <w:rFonts w:ascii="Arial Narrow" w:hAnsi="Arial Narrow"/>
          <w:sz w:val="22"/>
          <w:szCs w:val="22"/>
        </w:rPr>
        <w:t>Polanyi, Karl. La gran transformación, Madrid: La Piqueta, 1989.</w:t>
      </w:r>
    </w:p>
    <w:p>
      <w:pPr>
        <w:pStyle w:val="Textbody"/>
        <w:spacing w:lineRule="auto" w:line="240" w:before="0" w:after="120"/>
        <w:jc w:val="both"/>
        <w:rPr/>
      </w:pPr>
      <w:r>
        <w:rPr>
          <w:rFonts w:ascii="Arial Narrow" w:hAnsi="Arial Narrow"/>
          <w:sz w:val="22"/>
          <w:szCs w:val="22"/>
        </w:rPr>
        <w:t xml:space="preserve">Posse. Derive Approdi, Precarias a la deriva, Revista Posse, Colectivo Situaciones, Grupo 116, Colectivo Sin Ticket. </w:t>
      </w:r>
      <w:r>
        <w:rPr>
          <w:rFonts w:ascii="Arial Narrow" w:hAnsi="Arial Narrow"/>
          <w:i/>
          <w:iCs/>
          <w:sz w:val="22"/>
          <w:szCs w:val="22"/>
        </w:rPr>
        <w:t>Nociones comunes. Experiencias y ensayos entre investigación y militancia.</w:t>
      </w:r>
      <w:r>
        <w:rPr>
          <w:rFonts w:ascii="Arial Narrow" w:hAnsi="Arial Narrow"/>
          <w:sz w:val="22"/>
          <w:szCs w:val="22"/>
        </w:rPr>
        <w:t xml:space="preserve"> Madrid: Traficantes de Sueños, 2004. in: </w:t>
      </w:r>
      <w:hyperlink r:id="rId2">
        <w:r>
          <w:rPr>
            <w:rStyle w:val="EnlacedeInternet"/>
            <w:rFonts w:ascii="Arial Narrow" w:hAnsi="Arial Narrow"/>
            <w:sz w:val="22"/>
            <w:szCs w:val="22"/>
            <w:u w:val="single"/>
          </w:rPr>
          <w:t>https://www.traficantes.net/sites/default/files/pdfs/Nociones%20comunes-TdS.pd</w:t>
        </w:r>
      </w:hyperlink>
      <w:r>
        <w:rPr>
          <w:rFonts w:ascii="Arial Narrow" w:hAnsi="Arial Narrow"/>
          <w:sz w:val="22"/>
          <w:szCs w:val="22"/>
        </w:rPr>
        <w:t>f</w:t>
      </w:r>
    </w:p>
    <w:p>
      <w:pPr>
        <w:pStyle w:val="Textbody"/>
        <w:spacing w:lineRule="auto" w:line="240" w:before="0" w:after="120"/>
        <w:jc w:val="both"/>
        <w:rPr>
          <w:rFonts w:ascii="Arial Narrow" w:hAnsi="Arial Narrow"/>
          <w:sz w:val="22"/>
          <w:szCs w:val="22"/>
        </w:rPr>
      </w:pPr>
      <w:r>
        <w:rPr>
          <w:rFonts w:ascii="Arial Narrow" w:hAnsi="Arial Narrow"/>
          <w:sz w:val="22"/>
          <w:szCs w:val="22"/>
        </w:rPr>
        <w:t>Quijano, Aníbal. Colonialidad del poder y clasificación social. Buenos Aires: CLACSO, 2000.</w:t>
      </w:r>
    </w:p>
    <w:p>
      <w:pPr>
        <w:pStyle w:val="Textbody"/>
        <w:spacing w:lineRule="auto" w:line="240" w:before="0" w:after="120"/>
        <w:jc w:val="both"/>
        <w:rPr>
          <w:rFonts w:ascii="Arial Narrow" w:hAnsi="Arial Narrow"/>
          <w:sz w:val="22"/>
          <w:szCs w:val="22"/>
        </w:rPr>
      </w:pPr>
      <w:r>
        <w:rPr>
          <w:rFonts w:ascii="Arial Narrow" w:hAnsi="Arial Narrow"/>
          <w:sz w:val="22"/>
          <w:szCs w:val="22"/>
        </w:rPr>
        <w:t>Quiroga Díaz, Natalia “Economía feminista, social y solidaria. Respuestas heterodoxas a la crisis de reproducción en América Latina”, Iconos. Revista de Ciencias Sociales. N 33, 2009. 77-89.</w:t>
      </w:r>
    </w:p>
    <w:p>
      <w:pPr>
        <w:pStyle w:val="Textbody"/>
        <w:spacing w:lineRule="auto" w:line="240" w:before="0" w:after="120"/>
        <w:jc w:val="both"/>
        <w:rPr>
          <w:rFonts w:ascii="Arial Narrow" w:hAnsi="Arial Narrow"/>
          <w:sz w:val="22"/>
          <w:szCs w:val="22"/>
        </w:rPr>
      </w:pPr>
      <w:r>
        <w:rPr>
          <w:rFonts w:ascii="Arial Narrow" w:hAnsi="Arial Narrow"/>
          <w:sz w:val="22"/>
          <w:szCs w:val="22"/>
        </w:rPr>
        <w:t>Razeto, Luis. Los caminos de la economía de solidaridad. Buenos Aires: Lumen-Humanitas,1997.</w:t>
      </w:r>
    </w:p>
    <w:p>
      <w:pPr>
        <w:pStyle w:val="Textbody"/>
        <w:spacing w:lineRule="auto" w:line="240" w:before="0" w:after="120"/>
        <w:jc w:val="both"/>
        <w:rPr>
          <w:rFonts w:ascii="Arial Narrow" w:hAnsi="Arial Narrow"/>
          <w:sz w:val="22"/>
          <w:szCs w:val="22"/>
        </w:rPr>
      </w:pPr>
      <w:r>
        <w:rPr>
          <w:rFonts w:ascii="Arial Narrow" w:hAnsi="Arial Narrow"/>
          <w:sz w:val="22"/>
          <w:szCs w:val="22"/>
        </w:rPr>
        <w:t>Santos, Boaventura de Sousa (org.) Produzir para viver: os caminhos da produção não capitalista. Rio de Janeiro: Civilização Brasileira, 2002.</w:t>
      </w:r>
    </w:p>
    <w:p>
      <w:pPr>
        <w:pStyle w:val="Textbody"/>
        <w:spacing w:lineRule="auto" w:line="360"/>
        <w:jc w:val="both"/>
        <w:rPr>
          <w:rFonts w:ascii="Arial Narrow" w:hAnsi="Arial Narrow"/>
          <w:sz w:val="22"/>
          <w:szCs w:val="22"/>
        </w:rPr>
      </w:pPr>
      <w:r>
        <w:rPr>
          <w:rFonts w:ascii="Arial Narrow" w:hAnsi="Arial Narrow"/>
          <w:sz w:val="22"/>
          <w:szCs w:val="22"/>
        </w:rPr>
        <w:br/>
      </w:r>
      <w:bookmarkStart w:id="3" w:name="docs-internal-guid-e75ba272-7fff-2053-84"/>
      <w:bookmarkEnd w:id="3"/>
      <w:r>
        <w:rPr>
          <w:rFonts w:ascii="Arial Narrow" w:hAnsi="Arial Narrow"/>
          <w:sz w:val="22"/>
          <w:szCs w:val="22"/>
        </w:rPr>
        <w:t>Videos:</w:t>
      </w:r>
    </w:p>
    <w:p>
      <w:pPr>
        <w:pStyle w:val="Textbody"/>
        <w:spacing w:lineRule="auto" w:line="360" w:before="0" w:after="0"/>
        <w:jc w:val="both"/>
        <w:rPr>
          <w:rFonts w:ascii="Arial Narrow" w:hAnsi="Arial Narrow"/>
          <w:sz w:val="22"/>
          <w:szCs w:val="22"/>
        </w:rPr>
      </w:pPr>
      <w:r>
        <w:rPr>
          <w:rFonts w:ascii="Arial Narrow" w:hAnsi="Arial Narrow"/>
          <w:sz w:val="22"/>
          <w:szCs w:val="22"/>
        </w:rPr>
        <w:t>Serie de Sousa Santos, en este caso con Gladys Tzul Tzul</w:t>
      </w:r>
    </w:p>
    <w:p>
      <w:pPr>
        <w:pStyle w:val="Textbody"/>
        <w:spacing w:lineRule="auto" w:line="360" w:before="0" w:after="0"/>
        <w:jc w:val="both"/>
        <w:rPr/>
      </w:pPr>
      <w:hyperlink r:id="rId3">
        <w:r>
          <w:rPr>
            <w:rStyle w:val="EnlacedeInternet"/>
            <w:rFonts w:ascii="Arial Narrow" w:hAnsi="Arial Narrow"/>
            <w:sz w:val="22"/>
            <w:szCs w:val="22"/>
            <w:u w:val="single"/>
          </w:rPr>
          <w:t>https://www.youtube.com/watch?v=yLabZLEXbl0&amp;t=278s</w:t>
        </w:r>
      </w:hyperlink>
    </w:p>
    <w:p>
      <w:pPr>
        <w:pStyle w:val="Textbody"/>
        <w:spacing w:lineRule="auto" w:line="360" w:before="0" w:after="0"/>
        <w:jc w:val="both"/>
        <w:rPr/>
      </w:pPr>
      <w:hyperlink r:id="rId4">
        <w:r>
          <w:rPr>
            <w:rStyle w:val="EnlacedeInternet"/>
            <w:rFonts w:ascii="Arial Narrow" w:hAnsi="Arial Narrow"/>
            <w:sz w:val="22"/>
            <w:szCs w:val="22"/>
            <w:u w:val="single"/>
          </w:rPr>
          <w:t>https://www.youtube.com/watch?v=P_19onHEBs8</w:t>
        </w:r>
      </w:hyperlink>
    </w:p>
    <w:p>
      <w:pPr>
        <w:pStyle w:val="Normal"/>
        <w:spacing w:before="0" w:after="160"/>
        <w:jc w:val="both"/>
        <w:rPr/>
      </w:pPr>
      <w:r>
        <w:rPr/>
      </w:r>
    </w:p>
    <w:sectPr>
      <w:headerReference w:type="default" r:id="rId5"/>
      <w:footerReference w:type="default" r:id="rId6"/>
      <w:type w:val="nextPage"/>
      <w:pgSz w:w="12240" w:h="15840"/>
      <w:pgMar w:left="1701" w:right="1701" w:header="284" w:top="2830"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drawing>
        <wp:anchor behindDoc="1" distT="0" distB="8255" distL="114300" distR="119380" simplePos="0" locked="0" layoutInCell="1" allowOverlap="1" relativeHeight="17">
          <wp:simplePos x="0" y="0"/>
          <wp:positionH relativeFrom="column">
            <wp:posOffset>1320165</wp:posOffset>
          </wp:positionH>
          <wp:positionV relativeFrom="paragraph">
            <wp:posOffset>-189865</wp:posOffset>
          </wp:positionV>
          <wp:extent cx="966470" cy="525145"/>
          <wp:effectExtent l="0" t="0" r="0" b="0"/>
          <wp:wrapSquare wrapText="bothSides"/>
          <wp:docPr id="4"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0" descr=""/>
                  <pic:cNvPicPr>
                    <a:picLocks noChangeAspect="1" noChangeArrowheads="1"/>
                  </pic:cNvPicPr>
                </pic:nvPicPr>
                <pic:blipFill>
                  <a:blip r:embed="rId1"/>
                  <a:stretch>
                    <a:fillRect/>
                  </a:stretch>
                </pic:blipFill>
                <pic:spPr bwMode="auto">
                  <a:xfrm>
                    <a:off x="0" y="0"/>
                    <a:ext cx="966470" cy="525145"/>
                  </a:xfrm>
                  <a:prstGeom prst="rect">
                    <a:avLst/>
                  </a:prstGeom>
                </pic:spPr>
              </pic:pic>
            </a:graphicData>
          </a:graphic>
        </wp:anchor>
      </w:drawing>
      <w:drawing>
        <wp:anchor behindDoc="1" distT="0" distB="0" distL="114300" distR="123190" simplePos="0" locked="0" layoutInCell="1" allowOverlap="1" relativeHeight="21">
          <wp:simplePos x="0" y="0"/>
          <wp:positionH relativeFrom="column">
            <wp:posOffset>2806065</wp:posOffset>
          </wp:positionH>
          <wp:positionV relativeFrom="paragraph">
            <wp:posOffset>-198755</wp:posOffset>
          </wp:positionV>
          <wp:extent cx="1153160" cy="605790"/>
          <wp:effectExtent l="0" t="0" r="0" b="0"/>
          <wp:wrapSquare wrapText="bothSides"/>
          <wp:docPr id="5"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
                  <pic:cNvPicPr>
                    <a:picLocks noChangeAspect="1" noChangeArrowheads="1"/>
                  </pic:cNvPicPr>
                </pic:nvPicPr>
                <pic:blipFill>
                  <a:blip r:embed="rId2"/>
                  <a:stretch>
                    <a:fillRect/>
                  </a:stretch>
                </pic:blipFill>
                <pic:spPr bwMode="auto">
                  <a:xfrm>
                    <a:off x="0" y="0"/>
                    <a:ext cx="1153160" cy="60579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jc w:val="center"/>
      <w:rPr/>
    </w:pPr>
    <w:r>
      <w:rPr/>
      <w:drawing>
        <wp:anchor behindDoc="0" distT="0" distB="0" distL="114300" distR="117475" simplePos="0" locked="0" layoutInCell="1" allowOverlap="1" relativeHeight="5">
          <wp:simplePos x="0" y="0"/>
          <wp:positionH relativeFrom="column">
            <wp:posOffset>169545</wp:posOffset>
          </wp:positionH>
          <wp:positionV relativeFrom="paragraph">
            <wp:posOffset>149225</wp:posOffset>
          </wp:positionV>
          <wp:extent cx="987425" cy="1228090"/>
          <wp:effectExtent l="0" t="0" r="0" b="0"/>
          <wp:wrapTight wrapText="bothSides">
            <wp:wrapPolygon edited="0">
              <wp:start x="-107" y="0"/>
              <wp:lineTo x="-107" y="20976"/>
              <wp:lineTo x="21167" y="20976"/>
              <wp:lineTo x="21167" y="0"/>
              <wp:lineTo x="-107" y="0"/>
            </wp:wrapPolygon>
          </wp:wrapTight>
          <wp:docPr id="1"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1" descr=""/>
                  <pic:cNvPicPr>
                    <a:picLocks noChangeAspect="1" noChangeArrowheads="1"/>
                  </pic:cNvPicPr>
                </pic:nvPicPr>
                <pic:blipFill>
                  <a:blip r:embed="rId1"/>
                  <a:stretch>
                    <a:fillRect/>
                  </a:stretch>
                </pic:blipFill>
                <pic:spPr bwMode="auto">
                  <a:xfrm>
                    <a:off x="0" y="0"/>
                    <a:ext cx="987425" cy="1228090"/>
                  </a:xfrm>
                  <a:prstGeom prst="rect">
                    <a:avLst/>
                  </a:prstGeom>
                </pic:spPr>
              </pic:pic>
            </a:graphicData>
          </a:graphic>
        </wp:anchor>
      </w:drawing>
      <w:drawing>
        <wp:anchor behindDoc="0" distT="0" distB="0" distL="114300" distR="114300" simplePos="0" locked="0" layoutInCell="1" allowOverlap="1" relativeHeight="9">
          <wp:simplePos x="0" y="0"/>
          <wp:positionH relativeFrom="margin">
            <wp:posOffset>4311015</wp:posOffset>
          </wp:positionH>
          <wp:positionV relativeFrom="paragraph">
            <wp:posOffset>102235</wp:posOffset>
          </wp:positionV>
          <wp:extent cx="1219200" cy="1219200"/>
          <wp:effectExtent l="0" t="0" r="0" b="0"/>
          <wp:wrapTight wrapText="bothSides">
            <wp:wrapPolygon edited="0">
              <wp:start x="3251" y="6386"/>
              <wp:lineTo x="1589" y="12414"/>
              <wp:lineTo x="-72" y="12414"/>
              <wp:lineTo x="-72" y="16433"/>
              <wp:lineTo x="16470" y="16433"/>
              <wp:lineTo x="21238" y="14423"/>
              <wp:lineTo x="21238" y="12055"/>
              <wp:lineTo x="13436" y="9687"/>
              <wp:lineTo x="4984" y="6386"/>
              <wp:lineTo x="3251" y="6386"/>
            </wp:wrapPolygon>
          </wp:wrapTight>
          <wp:docPr id="2"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8" descr=""/>
                  <pic:cNvPicPr>
                    <a:picLocks noChangeAspect="1" noChangeArrowheads="1"/>
                  </pic:cNvPicPr>
                </pic:nvPicPr>
                <pic:blipFill>
                  <a:blip r:embed="rId2"/>
                  <a:stretch>
                    <a:fillRect/>
                  </a:stretch>
                </pic:blipFill>
                <pic:spPr bwMode="auto">
                  <a:xfrm>
                    <a:off x="0" y="0"/>
                    <a:ext cx="1219200" cy="1219200"/>
                  </a:xfrm>
                  <a:prstGeom prst="rect">
                    <a:avLst/>
                  </a:prstGeom>
                </pic:spPr>
              </pic:pic>
            </a:graphicData>
          </a:graphic>
        </wp:anchor>
      </w:drawing>
      <w:drawing>
        <wp:anchor behindDoc="0" distT="0" distB="3810" distL="114300" distR="123190" simplePos="0" locked="0" layoutInCell="1" allowOverlap="1" relativeHeight="13">
          <wp:simplePos x="0" y="0"/>
          <wp:positionH relativeFrom="column">
            <wp:posOffset>2425065</wp:posOffset>
          </wp:positionH>
          <wp:positionV relativeFrom="paragraph">
            <wp:posOffset>480695</wp:posOffset>
          </wp:positionV>
          <wp:extent cx="1666875" cy="529590"/>
          <wp:effectExtent l="0" t="0" r="0" b="0"/>
          <wp:wrapTight wrapText="bothSides">
            <wp:wrapPolygon edited="0">
              <wp:start x="-19" y="0"/>
              <wp:lineTo x="-19" y="20959"/>
              <wp:lineTo x="21475" y="20959"/>
              <wp:lineTo x="21475" y="0"/>
              <wp:lineTo x="-19" y="0"/>
            </wp:wrapPolygon>
          </wp:wrapTight>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3"/>
                  <a:stretch>
                    <a:fillRect/>
                  </a:stretch>
                </pic:blipFill>
                <pic:spPr bwMode="auto">
                  <a:xfrm>
                    <a:off x="0" y="0"/>
                    <a:ext cx="1666875" cy="529590"/>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s-AR"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db391a"/>
    <w:rPr/>
  </w:style>
  <w:style w:type="character" w:styleId="PiedepginaCar" w:customStyle="1">
    <w:name w:val="Pie de página Car"/>
    <w:basedOn w:val="DefaultParagraphFont"/>
    <w:link w:val="Piedepgina"/>
    <w:uiPriority w:val="99"/>
    <w:qFormat/>
    <w:rsid w:val="00db391a"/>
    <w:rPr/>
  </w:style>
  <w:style w:type="character" w:styleId="EnlacedeInternet">
    <w:name w:val="Enlace de Internet"/>
    <w:basedOn w:val="DefaultParagraphFont"/>
    <w:uiPriority w:val="99"/>
    <w:unhideWhenUsed/>
    <w:rsid w:val="007b64d6"/>
    <w:rPr>
      <w:color w:val="0563C1" w:themeColor="hyperlink"/>
      <w:u w:val="single"/>
    </w:rPr>
  </w:style>
  <w:style w:type="character" w:styleId="Annotationreference">
    <w:name w:val="annotation reference"/>
    <w:basedOn w:val="DefaultParagraphFont"/>
    <w:uiPriority w:val="99"/>
    <w:semiHidden/>
    <w:unhideWhenUsed/>
    <w:qFormat/>
    <w:rsid w:val="00997515"/>
    <w:rPr>
      <w:sz w:val="16"/>
      <w:szCs w:val="16"/>
    </w:rPr>
  </w:style>
  <w:style w:type="character" w:styleId="TextocomentarioCar" w:customStyle="1">
    <w:name w:val="Texto comentario Car"/>
    <w:basedOn w:val="DefaultParagraphFont"/>
    <w:link w:val="Textocomentario"/>
    <w:uiPriority w:val="99"/>
    <w:semiHidden/>
    <w:qFormat/>
    <w:rsid w:val="00997515"/>
    <w:rPr>
      <w:sz w:val="20"/>
      <w:szCs w:val="20"/>
    </w:rPr>
  </w:style>
  <w:style w:type="character" w:styleId="AsuntodelcomentarioCar" w:customStyle="1">
    <w:name w:val="Asunto del comentario Car"/>
    <w:basedOn w:val="TextocomentarioCar"/>
    <w:link w:val="Asuntodelcomentario"/>
    <w:uiPriority w:val="99"/>
    <w:semiHidden/>
    <w:qFormat/>
    <w:rsid w:val="00997515"/>
    <w:rPr>
      <w:b/>
      <w:bCs/>
      <w:sz w:val="20"/>
      <w:szCs w:val="20"/>
    </w:rPr>
  </w:style>
  <w:style w:type="character" w:styleId="TextodegloboCar" w:customStyle="1">
    <w:name w:val="Texto de globo Car"/>
    <w:basedOn w:val="DefaultParagraphFont"/>
    <w:link w:val="Textodeglobo"/>
    <w:uiPriority w:val="99"/>
    <w:semiHidden/>
    <w:qFormat/>
    <w:rsid w:val="00997515"/>
    <w:rPr>
      <w:rFonts w:ascii="Segoe UI" w:hAnsi="Segoe UI" w:cs="Segoe UI"/>
      <w:sz w:val="18"/>
      <w:szCs w:val="18"/>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Encabezamiento">
    <w:name w:val="Header"/>
    <w:basedOn w:val="Normal"/>
    <w:link w:val="EncabezadoCar"/>
    <w:uiPriority w:val="99"/>
    <w:unhideWhenUsed/>
    <w:rsid w:val="00db391a"/>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db391a"/>
    <w:pPr>
      <w:tabs>
        <w:tab w:val="center" w:pos="4419" w:leader="none"/>
        <w:tab w:val="right" w:pos="8838" w:leader="none"/>
      </w:tabs>
      <w:spacing w:lineRule="auto" w:line="240" w:before="0" w:after="0"/>
    </w:pPr>
    <w:rPr/>
  </w:style>
  <w:style w:type="paragraph" w:styleId="ListParagraph">
    <w:name w:val="List Paragraph"/>
    <w:basedOn w:val="Normal"/>
    <w:uiPriority w:val="34"/>
    <w:qFormat/>
    <w:rsid w:val="00460361"/>
    <w:pPr>
      <w:spacing w:before="0" w:after="160"/>
      <w:ind w:left="720" w:hanging="0"/>
      <w:contextualSpacing/>
    </w:pPr>
    <w:rPr/>
  </w:style>
  <w:style w:type="paragraph" w:styleId="Annotationtext">
    <w:name w:val="annotation text"/>
    <w:basedOn w:val="Normal"/>
    <w:link w:val="TextocomentarioCar"/>
    <w:uiPriority w:val="99"/>
    <w:semiHidden/>
    <w:unhideWhenUsed/>
    <w:qFormat/>
    <w:rsid w:val="00997515"/>
    <w:pPr>
      <w:spacing w:lineRule="auto" w:line="240"/>
    </w:pPr>
    <w:rPr>
      <w:sz w:val="20"/>
      <w:szCs w:val="20"/>
    </w:rPr>
  </w:style>
  <w:style w:type="paragraph" w:styleId="Annotationsubject">
    <w:name w:val="annotation subject"/>
    <w:basedOn w:val="Annotationtext"/>
    <w:link w:val="AsuntodelcomentarioCar"/>
    <w:uiPriority w:val="99"/>
    <w:semiHidden/>
    <w:unhideWhenUsed/>
    <w:qFormat/>
    <w:rsid w:val="00997515"/>
    <w:pPr/>
    <w:rPr>
      <w:b/>
      <w:bCs/>
    </w:rPr>
  </w:style>
  <w:style w:type="paragraph" w:styleId="BalloonText">
    <w:name w:val="Balloon Text"/>
    <w:basedOn w:val="Normal"/>
    <w:link w:val="TextodegloboCar"/>
    <w:uiPriority w:val="99"/>
    <w:semiHidden/>
    <w:unhideWhenUsed/>
    <w:qFormat/>
    <w:rsid w:val="00997515"/>
    <w:pPr>
      <w:spacing w:lineRule="auto" w:line="240" w:before="0" w:after="0"/>
    </w:pPr>
    <w:rPr>
      <w:rFonts w:ascii="Segoe UI" w:hAnsi="Segoe UI" w:cs="Segoe UI"/>
      <w:sz w:val="18"/>
      <w:szCs w:val="18"/>
    </w:rPr>
  </w:style>
  <w:style w:type="paragraph" w:styleId="Standard" w:customStyle="1">
    <w:name w:val="Standard"/>
    <w:qFormat/>
    <w:rsid w:val="0084692b"/>
    <w:pPr>
      <w:widowControl/>
      <w:suppressAutoHyphens w:val="true"/>
      <w:bidi w:val="0"/>
      <w:spacing w:lineRule="auto" w:line="240" w:before="0" w:after="0"/>
      <w:jc w:val="left"/>
      <w:textAlignment w:val="baseline"/>
    </w:pPr>
    <w:rPr>
      <w:rFonts w:ascii="Liberation Serif" w:hAnsi="Liberation Serif" w:eastAsia="Noto Sans CJK SC Regular" w:cs="Lohit Devanagari"/>
      <w:color w:val="auto"/>
      <w:sz w:val="24"/>
      <w:szCs w:val="24"/>
      <w:lang w:val="es-UY" w:eastAsia="zh-CN" w:bidi="hi-IN"/>
    </w:rPr>
  </w:style>
  <w:style w:type="paragraph" w:styleId="Textbody" w:customStyle="1">
    <w:name w:val="Text body"/>
    <w:basedOn w:val="Standard"/>
    <w:qFormat/>
    <w:rsid w:val="0084692b"/>
    <w:pPr>
      <w:spacing w:lineRule="auto" w:line="276"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8975c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ficantes.net/sites/default/files/pdfs/Nociones comunes-TdS.pdf" TargetMode="External"/><Relationship Id="rId3" Type="http://schemas.openxmlformats.org/officeDocument/2006/relationships/hyperlink" Target="https://www.youtube.com/watch?v=yLabZLEXbl0&amp;t=278s" TargetMode="External"/><Relationship Id="rId4" Type="http://schemas.openxmlformats.org/officeDocument/2006/relationships/hyperlink" Target="https://www.youtube.com/watch?v=P_19onHEBs8"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LibreOffice/5.1.6.2$Linux_X86_64 LibreOffice_project/10m0$Build-2</Application>
  <Pages>4</Pages>
  <Words>1027</Words>
  <Characters>6007</Characters>
  <CharactersWithSpaces>6981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2018-09-19T12:54:00Z</dcterms:created>
  <dc:creator>Karina Tomatis</dc:creator>
  <dc:description/>
  <dc:language>es-AR</dc:language>
  <cp:lastModifiedBy/>
  <dcterms:modified xsi:type="dcterms:W3CDTF">2018-10-05T15:00:17Z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